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6C" w:rsidRDefault="005B646C" w:rsidP="00F87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jövő vetése?</w:t>
      </w:r>
    </w:p>
    <w:p w:rsidR="005B646C" w:rsidRPr="00062970" w:rsidRDefault="005B646C" w:rsidP="00062970">
      <w:pPr>
        <w:jc w:val="center"/>
        <w:rPr>
          <w:b/>
          <w:sz w:val="32"/>
          <w:szCs w:val="32"/>
        </w:rPr>
      </w:pPr>
      <w:r w:rsidRPr="00062970">
        <w:rPr>
          <w:sz w:val="32"/>
          <w:szCs w:val="32"/>
        </w:rPr>
        <w:t>Vélemény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a</w:t>
      </w:r>
      <w:r w:rsidRPr="00F877B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Európai Tudományos Akadémiák Tudományos Tanácsadó Testülete (EASAC) </w:t>
      </w:r>
      <w:proofErr w:type="gramStart"/>
      <w:r w:rsidRPr="00062970">
        <w:rPr>
          <w:sz w:val="28"/>
          <w:szCs w:val="28"/>
        </w:rPr>
        <w:t>A</w:t>
      </w:r>
      <w:proofErr w:type="gramEnd"/>
      <w:r w:rsidRPr="00062970">
        <w:rPr>
          <w:sz w:val="28"/>
          <w:szCs w:val="28"/>
        </w:rPr>
        <w:t xml:space="preserve"> jövő vetése</w:t>
      </w:r>
      <w:r>
        <w:rPr>
          <w:b/>
          <w:sz w:val="28"/>
          <w:szCs w:val="28"/>
        </w:rPr>
        <w:t xml:space="preserve"> című, GMO </w:t>
      </w:r>
      <w:proofErr w:type="spellStart"/>
      <w:r>
        <w:rPr>
          <w:b/>
          <w:sz w:val="28"/>
          <w:szCs w:val="28"/>
        </w:rPr>
        <w:t>-val</w:t>
      </w:r>
      <w:proofErr w:type="spellEnd"/>
      <w:r>
        <w:rPr>
          <w:b/>
          <w:sz w:val="28"/>
          <w:szCs w:val="28"/>
        </w:rPr>
        <w:t xml:space="preserve"> foglalkozó kiadványában foglaltakról.</w:t>
      </w:r>
    </w:p>
    <w:p w:rsidR="005B646C" w:rsidRDefault="005B646C" w:rsidP="00F877B5">
      <w:pPr>
        <w:jc w:val="center"/>
        <w:rPr>
          <w:b/>
          <w:sz w:val="28"/>
          <w:szCs w:val="28"/>
        </w:rPr>
      </w:pPr>
    </w:p>
    <w:p w:rsidR="005B646C" w:rsidRDefault="005B646C" w:rsidP="00F877B5">
      <w:pPr>
        <w:jc w:val="both"/>
        <w:rPr>
          <w:sz w:val="28"/>
          <w:szCs w:val="28"/>
        </w:rPr>
      </w:pPr>
      <w:r w:rsidRPr="00F877B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nevezett szervezet - amelynek alelnöke a Magyar Tudományos Akadémia ez évben leköszönő elnöke, Dr. Pálinkás József akadémikus – által az MTA közreműködésével közreadott, brosúra formájú anyag közérthető módon, a teljes körűség igényével tárgyalja a GMO technológia szinte valamennyi vetületét. Az állásfoglalás szemléletmódját döntő mértékben meghatározza az alaphelyzet, amely szerint az említett biotechnológiai eljárásnak a növénytermelésben való alkalmazása két növényfaj (a kukorica, valamint az ipari felhasználású burgonya) kivételével az Európai Unió országaiban jelenleg – szerencsére - nem engedélyezett. Ez utóbbi határozza meg az anyag jellegét. Annak ellenére, hogy a téma tárgyalása során elviekben objektivitásra törekszik, a GMO </w:t>
      </w:r>
      <w:proofErr w:type="spellStart"/>
      <w:r>
        <w:rPr>
          <w:sz w:val="28"/>
          <w:szCs w:val="28"/>
        </w:rPr>
        <w:t>-ról</w:t>
      </w:r>
      <w:proofErr w:type="spellEnd"/>
      <w:r>
        <w:rPr>
          <w:sz w:val="28"/>
          <w:szCs w:val="28"/>
        </w:rPr>
        <w:t xml:space="preserve"> írottak nem mentesek az apologetika jellemzőitől.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Talán itt célszerű megemlíteni, hogy eme „tudományos cselekmény” az MTA részéről nem minden előzmény nélküli. Az MTA hivatalos tudományos folyóirata, a Magyar Tudomány 2007/4. száma tematikus száma – szerk. Dr. </w:t>
      </w:r>
      <w:proofErr w:type="spellStart"/>
      <w:r>
        <w:rPr>
          <w:sz w:val="28"/>
          <w:szCs w:val="28"/>
        </w:rPr>
        <w:t>Dudits</w:t>
      </w:r>
      <w:proofErr w:type="spellEnd"/>
      <w:r>
        <w:rPr>
          <w:sz w:val="28"/>
          <w:szCs w:val="28"/>
        </w:rPr>
        <w:t xml:space="preserve"> Dénes akadémikus - teljes terjedelemben a GMO kérdéskörével foglalkozott, kiemelve annak előnyös, és elhallgatva annak hátrányos vonatkozásait. (E megállapítás különösen is érvényes a GMO </w:t>
      </w:r>
      <w:proofErr w:type="spellStart"/>
      <w:r>
        <w:rPr>
          <w:sz w:val="28"/>
          <w:szCs w:val="28"/>
        </w:rPr>
        <w:t>-s</w:t>
      </w:r>
      <w:proofErr w:type="spellEnd"/>
      <w:r>
        <w:rPr>
          <w:sz w:val="28"/>
          <w:szCs w:val="28"/>
        </w:rPr>
        <w:t xml:space="preserve"> eljárások alkalmazásának az agrárgazdasági vetületeit taglaló írásra. Abban ugyanis például egy szó sem esik, milyen piacvesztést okozna hazánk számára, ha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nevezett</w:t>
      </w:r>
      <w:proofErr w:type="gramEnd"/>
      <w:r>
        <w:rPr>
          <w:sz w:val="28"/>
          <w:szCs w:val="28"/>
        </w:rPr>
        <w:t xml:space="preserve"> eljárás idehaza bevezetésre kerülne. Erről írásomban a későbbiek során teszek majd említést.) </w:t>
      </w:r>
      <w:r>
        <w:rPr>
          <w:rStyle w:val="Lbjegyzet-hivatkozs"/>
          <w:sz w:val="28"/>
          <w:szCs w:val="28"/>
        </w:rPr>
        <w:footnoteReference w:id="1"/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megjelentetett kiadvány jól szerkesztett, tartalmi vonatkozásai tekintetében első közelítésben nem hagy sok kivetnivalót maga után. A kérdéskörnek nem csak a biológiai vetületeivel foglalkozik, hanem bizonyos közelítésben a </w:t>
      </w:r>
      <w:r>
        <w:rPr>
          <w:sz w:val="28"/>
          <w:szCs w:val="28"/>
        </w:rPr>
        <w:lastRenderedPageBreak/>
        <w:t>közgazdasági vonatkozásaival is. Ugyanakkor le kell szögeznünk, hogy az anyagnak ez a számunkra meghatározó jelentőségű kérdésköre egyben annak leggyengébb érvrendszerét is jelenti.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>A leírtakat alapvetően az a cél vezérli, hogy rábírja az EU-t a GMO –</w:t>
      </w:r>
      <w:proofErr w:type="spellStart"/>
      <w:r>
        <w:rPr>
          <w:sz w:val="28"/>
          <w:szCs w:val="28"/>
        </w:rPr>
        <w:t>val</w:t>
      </w:r>
      <w:proofErr w:type="spellEnd"/>
      <w:r>
        <w:rPr>
          <w:sz w:val="28"/>
          <w:szCs w:val="28"/>
        </w:rPr>
        <w:t xml:space="preserve"> kapcsolatos eddigi szabályozási alapelvei, és arra vonatkozó gyakorlatának feladására. Érvrendszerét ennek megfelelően alakítja ki.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Amint arra utaltam, a kiadványban foglaltak a </w:t>
      </w:r>
      <w:proofErr w:type="spellStart"/>
      <w:r>
        <w:rPr>
          <w:sz w:val="28"/>
          <w:szCs w:val="28"/>
        </w:rPr>
        <w:t>génmanipulát</w:t>
      </w:r>
      <w:proofErr w:type="spellEnd"/>
      <w:r>
        <w:rPr>
          <w:sz w:val="28"/>
          <w:szCs w:val="28"/>
        </w:rPr>
        <w:t xml:space="preserve"> növényi szervezetek termesztésével összefüggő kérdéskörök szinte mindegyikét érintik. Mindebből következik, hogy a leírtakkal kapcsolatos álláspont ismertetése gyakorlatilag egy másik – a szóban forgó kiadványhoz hasonló terjedelmű – anyag elkészítését tenné szükségessé, amelyre jelen esetben nincsen mód. Ezért álláspontom kialakításakor elsősorban azokat a kérdésköröket tárgyalom (különböző mélységekben), amelyről a kiadványban nem történik említés, vagy pedig a leírtakkal nem értek egyet.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>Bár a kiadványban leírtak vizsgálati szintjét az EU egésze képezi, én ezen belül is elsősorban a magyar sajátosságok és érdekek alapállásából kiindulva fogalmazom meg a kritikámat.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>A kiadványban foglaltak továbbra sem bizonyítják meggyőzően a GMO –s termékek emberi fogyasztással és a környezettel összefüggésbe hozható esetleges veszélyes voltának a cáfolatát. (E témának a vetületeiről a továbbiakban két okból sem kívánok részletesebben szólni. Egyrészt azért, mert e kérdéskörnek könyvtárnyi irodalma van, másrészt ez esetben egy olyan dologról van szó, amely végső soron több ország esetében a GMO s szervezetek termelésének az elutasítási, illetve tiltási alapjául szolgál.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>Az anyag foglalkozik Európának a GMO –</w:t>
      </w:r>
      <w:proofErr w:type="spellStart"/>
      <w:r>
        <w:rPr>
          <w:sz w:val="28"/>
          <w:szCs w:val="28"/>
        </w:rPr>
        <w:t>val</w:t>
      </w:r>
      <w:proofErr w:type="spellEnd"/>
      <w:r>
        <w:rPr>
          <w:sz w:val="28"/>
          <w:szCs w:val="28"/>
        </w:rPr>
        <w:t xml:space="preserve"> kapcsolatos kutatások visszafogottságából eredően a tudomány területén elszenvedett hátrányával, és e téren is az uniós szervek magatartásának a megváltoztatását sürgeti. Pusztán tudományos oldalról nézve ezt a kérdést, elvileg még egyet is érthetnénk ezzel a megállapítással, leszámítva azt az esetet, amikor ezeket a kutatásokat az EASAC uniós forrásból kívánná finanszíroztatni. Itt kívánom megjegyezni, hogy míg Magyarországon korábban költségvetési fejezetbe tartozó pénzekből a biotechnológiai (értsd ez alatt döntő hányadban a </w:t>
      </w:r>
      <w:proofErr w:type="spellStart"/>
      <w:r>
        <w:rPr>
          <w:sz w:val="28"/>
          <w:szCs w:val="28"/>
        </w:rPr>
        <w:t>GMO-s</w:t>
      </w:r>
      <w:proofErr w:type="spellEnd"/>
      <w:r>
        <w:rPr>
          <w:sz w:val="28"/>
          <w:szCs w:val="28"/>
        </w:rPr>
        <w:t>) célzatú kutatásokat 70-75%-ban finanszírozták, addig például a műszaki-</w:t>
      </w:r>
      <w:r>
        <w:rPr>
          <w:sz w:val="28"/>
          <w:szCs w:val="28"/>
        </w:rPr>
        <w:lastRenderedPageBreak/>
        <w:t xml:space="preserve">technológiai jellegűeket nem egész 20%-ban. (Ezen az el nem fogadható gyakorlaton a második Orbán kormány alatt történt pozitív irányú változás.)  Másrészt, arról is szólni kell, hogy az USA-ban a </w:t>
      </w:r>
      <w:proofErr w:type="spellStart"/>
      <w:r>
        <w:rPr>
          <w:sz w:val="28"/>
          <w:szCs w:val="28"/>
        </w:rPr>
        <w:t>Monsanto</w:t>
      </w:r>
      <w:proofErr w:type="spellEnd"/>
      <w:r>
        <w:rPr>
          <w:sz w:val="28"/>
          <w:szCs w:val="28"/>
        </w:rPr>
        <w:t xml:space="preserve">, vagy a </w:t>
      </w:r>
      <w:proofErr w:type="spellStart"/>
      <w:r>
        <w:rPr>
          <w:sz w:val="28"/>
          <w:szCs w:val="28"/>
        </w:rPr>
        <w:t>Pioneer</w:t>
      </w:r>
      <w:proofErr w:type="spellEnd"/>
      <w:r>
        <w:rPr>
          <w:sz w:val="28"/>
          <w:szCs w:val="28"/>
        </w:rPr>
        <w:t xml:space="preserve"> sem költségvetési pénzből gazdálkodik, hanem profitorientált cégként biztosítja a működéséhez szükséges anyagi forrásokat.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És itt jutunk el a kiadvány fő mondandójának a kritikájához. A GMO </w:t>
      </w:r>
      <w:proofErr w:type="spellStart"/>
      <w:r>
        <w:rPr>
          <w:sz w:val="28"/>
          <w:szCs w:val="28"/>
        </w:rPr>
        <w:t>-s</w:t>
      </w:r>
      <w:proofErr w:type="spellEnd"/>
      <w:r>
        <w:rPr>
          <w:sz w:val="28"/>
          <w:szCs w:val="28"/>
        </w:rPr>
        <w:t xml:space="preserve"> párti EASAC érvrendszerében kulcsszerepet kap a világélelmezés kérdése. Ezzel kapcsolatosan a következőket kell leszögezni. A világ élelmezési problémáira több, egyéb megoldási lehetőség is nyílik. Elég, ha csak a belterjesebb mezőgazdasági termelés előtérbe helyezésére gondolunk. (Így például a talajerózió és defláció káros hatásainak a csökkentésére, az öntözés fejlesztésére, a bőségesebb és hatékonyabb tápanyag utánpótlásra, az állategészségügy fejlesztésére stb.) E kérdéskör kapcsán lehet még szóbahozni a </w:t>
      </w:r>
      <w:proofErr w:type="spellStart"/>
      <w:r>
        <w:rPr>
          <w:sz w:val="28"/>
          <w:szCs w:val="28"/>
        </w:rPr>
        <w:t>bioetanol</w:t>
      </w:r>
      <w:proofErr w:type="spellEnd"/>
      <w:r>
        <w:rPr>
          <w:sz w:val="28"/>
          <w:szCs w:val="28"/>
        </w:rPr>
        <w:t xml:space="preserve"> és a biodízel előállítását is. Azok alapanyagai ugyanis közvetlenül, vagy takarmányként feletetve – transzformált formában – élelmiszerként hasznosíthatóak. (Felháborítónak minősíthető, hogy míg a harmadik világ több országában emberek milliói éheznek, addig az USA-ban és az Európai Unióban, de még például Brazíliában is, üzemanyagot állítanak elő élelmiszer alapanyagokból.) A világélelmezéssel kapcsolatosan kell szólni arról a nem kívánatos jelenségről, amely szerint a fogyasztók a világ legfejlettebb régióiban, illetve országaiban pazarló magatartást folytatnak. Ennek aránya az USA-ban mintegy 40-, az EU-ban 25%-ra tehető. Az elmondottak tehát azt bizonyítják, hogy a GMO </w:t>
      </w:r>
      <w:proofErr w:type="spellStart"/>
      <w:r>
        <w:rPr>
          <w:sz w:val="28"/>
          <w:szCs w:val="28"/>
        </w:rPr>
        <w:t>-s</w:t>
      </w:r>
      <w:proofErr w:type="spellEnd"/>
      <w:r>
        <w:rPr>
          <w:sz w:val="28"/>
          <w:szCs w:val="28"/>
        </w:rPr>
        <w:t xml:space="preserve"> növénytermelési eljárások hozamfokozásán túl bőségesen állnak még egyéb formában tartalékok a rendelkezésünkre a világélelmezési problémáknak a megoldására.   És itt jutunk el témánk egyik igen fontos állomásához.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kérdéskörnek – mármint a Föld lakóssága jobb élelmiszer ellátásának – a termelési technológiai feltételein túl - döntő mértékben politikai-gazdasági vetületei is vannak. Bár léteznek nagy-, a világ élelmezésével foglalkozó szervezetek, mint az ENSZ égisze alatt működő FAO, ugyanakkor nincsen egy „világkormány”, amely globális szinten koordinálná, de még inkább oldaná meg ezeket a problémákat. 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emberiség élelmezési kérdései három szinten jelentkeznek. Az egyén/család vonatkozásában, egy ország tekintetében, valamint globális (világ) méretekben. </w:t>
      </w:r>
      <w:r>
        <w:rPr>
          <w:sz w:val="28"/>
          <w:szCs w:val="28"/>
        </w:rPr>
        <w:lastRenderedPageBreak/>
        <w:t>(Az olyan közbülső, regionális szintekkel, mint amilyen például az EU, jelen vizsgálódásunk szempontjából nem célszerű foglalkozni.)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>Az egyes szintek problémái, és azok megoldási (megszüntetési) lehetőségei szempontjából – összefüggésben a GMO kérdéskörével – az országos szempontokat kell elsősorban idehaza figyelembe venni.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Magyarországon, országos szinten nem beszélhetünk élelmiszerhiányról, hiszen hazánk a legfontosabb élelmiszerekből, illetve azok alapanyagaiból – kiemelten a gabonafélékből – nettó exportőr. A mi esetünkben tehát népélelmezési szempontból semmi sem indokolja a GMO </w:t>
      </w:r>
      <w:proofErr w:type="spellStart"/>
      <w:r>
        <w:rPr>
          <w:sz w:val="28"/>
          <w:szCs w:val="28"/>
        </w:rPr>
        <w:t>-s</w:t>
      </w:r>
      <w:proofErr w:type="spellEnd"/>
      <w:r>
        <w:rPr>
          <w:sz w:val="28"/>
          <w:szCs w:val="28"/>
        </w:rPr>
        <w:t xml:space="preserve"> növényi szervezetek termelésbe állítását. Ellenkezőleg, a felhasználásukból eredő hátrányok igen nagyok volnának. Ezek közül a szélesebb körökben ismerteket csak röviden említeném meg. Így például, hogy mezőgazdaságunk egésze, de azon belül is kiemelten a növényi termékek tekintetében végérvényesen elveszítenénk azt a járadékjellegű előnyt, amelyet a GMO mentességünk eredményez. (Például a kukorica esetében az export felárat az orosz piacon, más országok – így például Dél-Korea, Malaysia, az Arab-félsziget országai – tekintetében az adott termékre (elsősorban a kukoricára vonatkozóan) a fogadókészséget (exportálási lehetőséget). Hangsúlyozni szeretném, a GMO menteség megszűnése a hagyományos eljárással termelt növényfajok piaci pozícióját is hátrányosan érintené. (Lásd a spanyol ökológiai gazdálkodók ellehetetlenülését a GMO </w:t>
      </w:r>
      <w:proofErr w:type="spellStart"/>
      <w:r>
        <w:rPr>
          <w:sz w:val="28"/>
          <w:szCs w:val="28"/>
        </w:rPr>
        <w:t>-s</w:t>
      </w:r>
      <w:proofErr w:type="spellEnd"/>
      <w:r>
        <w:rPr>
          <w:sz w:val="28"/>
          <w:szCs w:val="28"/>
        </w:rPr>
        <w:t xml:space="preserve"> kukorica termesztésének engedélyezése következtében.)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kérdéskör agrárgazdasági vonatkozásai közül feltétlenül fel kell hívni a figyelmet arra a körülményre, amely szerint, ha mi idehaza áttérünk például a </w:t>
      </w:r>
      <w:proofErr w:type="spellStart"/>
      <w:r>
        <w:rPr>
          <w:sz w:val="28"/>
          <w:szCs w:val="28"/>
        </w:rPr>
        <w:t>GMO-s</w:t>
      </w:r>
      <w:proofErr w:type="spellEnd"/>
      <w:r>
        <w:rPr>
          <w:sz w:val="28"/>
          <w:szCs w:val="28"/>
        </w:rPr>
        <w:t xml:space="preserve"> kukorica termesztésére, akkor attól kezdődően csak a multinacionális cégek által előállított vetőmagot használhatunk majd csak. Ennek pedig egyenes velejárója lesz, hogy ezek a cégek a vetőmag árát úgy srófolják majd a magasba, ahogyan azt akarják. (Talán e helyütt nem kell részletezni, hogy idehaza miért nem tudunk a belátható jövőn belül GMO </w:t>
      </w:r>
      <w:proofErr w:type="spellStart"/>
      <w:r>
        <w:rPr>
          <w:sz w:val="28"/>
          <w:szCs w:val="28"/>
        </w:rPr>
        <w:t>-s</w:t>
      </w:r>
      <w:proofErr w:type="spellEnd"/>
      <w:r>
        <w:rPr>
          <w:sz w:val="28"/>
          <w:szCs w:val="28"/>
        </w:rPr>
        <w:t xml:space="preserve"> vetőmagot előállítani. (Ez alatt nem annak a szaporítását értem.) Legalább annyira nem, mint ahogyan egy Audi műszaki színvonalát elérő hazai személygépkocsi márkát sem tudunk kifejleszteni.)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Természetesen e helyütt is szólni szükséges a már említett humán egészségügyi, és környezeti kockázatokról is, amelyeket az ilyen termékek </w:t>
      </w:r>
      <w:r>
        <w:rPr>
          <w:sz w:val="28"/>
          <w:szCs w:val="28"/>
        </w:rPr>
        <w:lastRenderedPageBreak/>
        <w:t>fogyasztása, illetve azoknak a környezetre gyakorolt hatása jelenthet a magyar emberek számára.</w:t>
      </w:r>
    </w:p>
    <w:p w:rsidR="005B646C" w:rsidRDefault="005B646C" w:rsidP="00F877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Összegezve az elmondottakat, hangsúlyozni szeretném, messzemenőkig nem volna elfogadható, ha az EASAC nyomására – amely mögött, és ezt elfogultságtól mentesen mondhatjuk, nem a világélelmezéssel összefüggő aggodalmaik, hanem a kutatók egyéni, olykor öncélú presztízs érdekei, és az őket nem kis mértékben finanszírozó multinacionális cégek lobbyérdekei játsszák a főszerepet – az EU illetékesei megváltoztatnák a GMO </w:t>
      </w:r>
      <w:proofErr w:type="spellStart"/>
      <w:r>
        <w:rPr>
          <w:sz w:val="28"/>
          <w:szCs w:val="28"/>
        </w:rPr>
        <w:t>-val</w:t>
      </w:r>
      <w:proofErr w:type="spellEnd"/>
      <w:r>
        <w:rPr>
          <w:sz w:val="28"/>
          <w:szCs w:val="28"/>
        </w:rPr>
        <w:t xml:space="preserve"> kapcsolatos eddigi álláspontjukat, amely netalántán az azzal kapcsolatos irányelv </w:t>
      </w:r>
      <w:proofErr w:type="spellStart"/>
      <w:r>
        <w:rPr>
          <w:sz w:val="28"/>
          <w:szCs w:val="28"/>
        </w:rPr>
        <w:t>védzáradékának</w:t>
      </w:r>
      <w:proofErr w:type="spellEnd"/>
      <w:r>
        <w:rPr>
          <w:sz w:val="28"/>
          <w:szCs w:val="28"/>
        </w:rPr>
        <w:t xml:space="preserve"> a feladását is jelentené, megszüntetve ezáltal az egyes tagországok GMO ellenes,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jogi</w:t>
      </w:r>
      <w:proofErr w:type="gramEnd"/>
      <w:r>
        <w:rPr>
          <w:sz w:val="28"/>
          <w:szCs w:val="28"/>
        </w:rPr>
        <w:t xml:space="preserve"> védelmi lehetőségeit.</w:t>
      </w:r>
    </w:p>
    <w:p w:rsidR="005B646C" w:rsidRDefault="005B646C" w:rsidP="00F877B5">
      <w:pPr>
        <w:jc w:val="both"/>
        <w:rPr>
          <w:sz w:val="28"/>
          <w:szCs w:val="28"/>
        </w:rPr>
      </w:pP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habil</w:t>
      </w:r>
      <w:proofErr w:type="spellEnd"/>
      <w:r>
        <w:rPr>
          <w:sz w:val="28"/>
          <w:szCs w:val="28"/>
        </w:rPr>
        <w:t xml:space="preserve">. </w:t>
      </w:r>
      <w:bookmarkStart w:id="0" w:name="_GoBack"/>
      <w:proofErr w:type="spellStart"/>
      <w:r>
        <w:rPr>
          <w:sz w:val="28"/>
          <w:szCs w:val="28"/>
        </w:rPr>
        <w:t>Alvincz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József </w:t>
      </w:r>
      <w:proofErr w:type="spellStart"/>
      <w:r>
        <w:rPr>
          <w:sz w:val="28"/>
          <w:szCs w:val="28"/>
        </w:rPr>
        <w:t>CSc</w:t>
      </w:r>
      <w:proofErr w:type="spellEnd"/>
      <w:r>
        <w:rPr>
          <w:sz w:val="28"/>
          <w:szCs w:val="28"/>
        </w:rPr>
        <w:t>.</w:t>
      </w: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>Mérnök</w:t>
      </w:r>
      <w:r w:rsidR="00065B58">
        <w:rPr>
          <w:sz w:val="28"/>
          <w:szCs w:val="28"/>
        </w:rPr>
        <w:t>-</w:t>
      </w:r>
      <w:r>
        <w:rPr>
          <w:sz w:val="28"/>
          <w:szCs w:val="28"/>
        </w:rPr>
        <w:t>közgazdász</w:t>
      </w:r>
    </w:p>
    <w:p w:rsidR="005B646C" w:rsidRDefault="005B646C" w:rsidP="00F877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c.</w:t>
      </w:r>
      <w:proofErr w:type="gramEnd"/>
      <w:r>
        <w:rPr>
          <w:sz w:val="28"/>
          <w:szCs w:val="28"/>
        </w:rPr>
        <w:t xml:space="preserve"> egyetemi tanár</w:t>
      </w:r>
    </w:p>
    <w:p w:rsidR="005B646C" w:rsidRDefault="005B646C" w:rsidP="00F877B5">
      <w:pPr>
        <w:jc w:val="both"/>
        <w:rPr>
          <w:sz w:val="28"/>
          <w:szCs w:val="28"/>
        </w:rPr>
      </w:pPr>
    </w:p>
    <w:p w:rsidR="005B646C" w:rsidRDefault="005B646C" w:rsidP="00F877B5">
      <w:pPr>
        <w:jc w:val="both"/>
        <w:rPr>
          <w:sz w:val="28"/>
          <w:szCs w:val="28"/>
        </w:rPr>
      </w:pPr>
      <w:r>
        <w:rPr>
          <w:sz w:val="28"/>
          <w:szCs w:val="28"/>
        </w:rPr>
        <w:t>Dunabogdány, 2014.</w:t>
      </w:r>
      <w:r w:rsidR="00065B58">
        <w:rPr>
          <w:sz w:val="28"/>
          <w:szCs w:val="28"/>
        </w:rPr>
        <w:t xml:space="preserve"> </w:t>
      </w:r>
      <w:r>
        <w:rPr>
          <w:sz w:val="28"/>
          <w:szCs w:val="28"/>
        </w:rPr>
        <w:t>július 7.</w:t>
      </w:r>
    </w:p>
    <w:p w:rsidR="005B646C" w:rsidRDefault="005B646C" w:rsidP="00F877B5">
      <w:pPr>
        <w:jc w:val="both"/>
        <w:rPr>
          <w:sz w:val="28"/>
          <w:szCs w:val="28"/>
        </w:rPr>
      </w:pPr>
    </w:p>
    <w:p w:rsidR="005B646C" w:rsidRPr="00F877B5" w:rsidRDefault="005B646C" w:rsidP="00F877B5">
      <w:pPr>
        <w:jc w:val="both"/>
        <w:rPr>
          <w:sz w:val="28"/>
          <w:szCs w:val="28"/>
        </w:rPr>
      </w:pPr>
    </w:p>
    <w:p w:rsidR="005B646C" w:rsidRPr="00F877B5" w:rsidRDefault="005B646C">
      <w:pPr>
        <w:jc w:val="center"/>
        <w:rPr>
          <w:b/>
          <w:sz w:val="28"/>
          <w:szCs w:val="28"/>
        </w:rPr>
      </w:pPr>
    </w:p>
    <w:sectPr w:rsidR="005B646C" w:rsidRPr="00F877B5" w:rsidSect="00A77F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F3" w:rsidRDefault="002A2CF3" w:rsidP="00D84970">
      <w:pPr>
        <w:spacing w:after="0" w:line="240" w:lineRule="auto"/>
      </w:pPr>
      <w:r>
        <w:separator/>
      </w:r>
    </w:p>
  </w:endnote>
  <w:endnote w:type="continuationSeparator" w:id="0">
    <w:p w:rsidR="002A2CF3" w:rsidRDefault="002A2CF3" w:rsidP="00D8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6C" w:rsidRDefault="004200F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760C2">
      <w:rPr>
        <w:noProof/>
      </w:rPr>
      <w:t>1</w:t>
    </w:r>
    <w:r>
      <w:rPr>
        <w:noProof/>
      </w:rPr>
      <w:fldChar w:fldCharType="end"/>
    </w:r>
  </w:p>
  <w:p w:rsidR="005B646C" w:rsidRDefault="005B64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F3" w:rsidRDefault="002A2CF3" w:rsidP="00D84970">
      <w:pPr>
        <w:spacing w:after="0" w:line="240" w:lineRule="auto"/>
      </w:pPr>
      <w:r>
        <w:separator/>
      </w:r>
    </w:p>
  </w:footnote>
  <w:footnote w:type="continuationSeparator" w:id="0">
    <w:p w:rsidR="002A2CF3" w:rsidRDefault="002A2CF3" w:rsidP="00D84970">
      <w:pPr>
        <w:spacing w:after="0" w:line="240" w:lineRule="auto"/>
      </w:pPr>
      <w:r>
        <w:continuationSeparator/>
      </w:r>
    </w:p>
  </w:footnote>
  <w:footnote w:id="1">
    <w:p w:rsidR="005B646C" w:rsidRDefault="005B646C">
      <w:pPr>
        <w:pStyle w:val="Lbjegyzetszveg"/>
      </w:pPr>
      <w:r>
        <w:rPr>
          <w:rStyle w:val="Lbjegyzet-hivatkozs"/>
        </w:rPr>
        <w:footnoteRef/>
      </w:r>
      <w:r>
        <w:t xml:space="preserve"> A GM növények (elsősorban a kukorica) termesztésének és ipari felhasználásának közgazdasági kérdései Magyarországon. Szerzők Dr. </w:t>
      </w:r>
      <w:proofErr w:type="spellStart"/>
      <w:r>
        <w:t>Popp</w:t>
      </w:r>
      <w:proofErr w:type="spellEnd"/>
      <w:r>
        <w:t xml:space="preserve"> József </w:t>
      </w:r>
      <w:proofErr w:type="spellStart"/>
      <w:r>
        <w:t>DSc</w:t>
      </w:r>
      <w:proofErr w:type="spellEnd"/>
      <w:r>
        <w:t xml:space="preserve">. És Dr. </w:t>
      </w:r>
      <w:proofErr w:type="spellStart"/>
      <w:r>
        <w:t>Potori</w:t>
      </w:r>
      <w:proofErr w:type="spellEnd"/>
      <w:r>
        <w:t xml:space="preserve"> Norbert PhD Magyar Tudomány, 2007/4. sz. 451-461.p.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B5"/>
    <w:rsid w:val="00062970"/>
    <w:rsid w:val="00065B58"/>
    <w:rsid w:val="00097209"/>
    <w:rsid w:val="000E70EF"/>
    <w:rsid w:val="00124777"/>
    <w:rsid w:val="001B7AFB"/>
    <w:rsid w:val="001C4ECF"/>
    <w:rsid w:val="002876FC"/>
    <w:rsid w:val="002A2CF3"/>
    <w:rsid w:val="002A372D"/>
    <w:rsid w:val="002C4A3B"/>
    <w:rsid w:val="002E40CD"/>
    <w:rsid w:val="003247CF"/>
    <w:rsid w:val="00327A56"/>
    <w:rsid w:val="00344BCF"/>
    <w:rsid w:val="004200F5"/>
    <w:rsid w:val="0042187C"/>
    <w:rsid w:val="00446002"/>
    <w:rsid w:val="004A5CFD"/>
    <w:rsid w:val="004E2236"/>
    <w:rsid w:val="005519E1"/>
    <w:rsid w:val="005B646C"/>
    <w:rsid w:val="006140CC"/>
    <w:rsid w:val="00674030"/>
    <w:rsid w:val="006D5EEA"/>
    <w:rsid w:val="006E2009"/>
    <w:rsid w:val="006E7BDA"/>
    <w:rsid w:val="007C3226"/>
    <w:rsid w:val="00882331"/>
    <w:rsid w:val="008C3089"/>
    <w:rsid w:val="008D097E"/>
    <w:rsid w:val="00906801"/>
    <w:rsid w:val="00914826"/>
    <w:rsid w:val="009D2589"/>
    <w:rsid w:val="009F2F13"/>
    <w:rsid w:val="00A77FA8"/>
    <w:rsid w:val="00B17D64"/>
    <w:rsid w:val="00B25713"/>
    <w:rsid w:val="00B47591"/>
    <w:rsid w:val="00B624E6"/>
    <w:rsid w:val="00B84550"/>
    <w:rsid w:val="00BB2320"/>
    <w:rsid w:val="00C10429"/>
    <w:rsid w:val="00C14BFE"/>
    <w:rsid w:val="00C17C0F"/>
    <w:rsid w:val="00C85C50"/>
    <w:rsid w:val="00CF625D"/>
    <w:rsid w:val="00CF7A5D"/>
    <w:rsid w:val="00D07807"/>
    <w:rsid w:val="00D32F6B"/>
    <w:rsid w:val="00D84970"/>
    <w:rsid w:val="00DB025F"/>
    <w:rsid w:val="00DD4393"/>
    <w:rsid w:val="00DF6BD9"/>
    <w:rsid w:val="00E760C2"/>
    <w:rsid w:val="00EF0A7F"/>
    <w:rsid w:val="00F00D5B"/>
    <w:rsid w:val="00F13824"/>
    <w:rsid w:val="00F87551"/>
    <w:rsid w:val="00F877B5"/>
    <w:rsid w:val="00F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FA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8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84970"/>
    <w:rPr>
      <w:rFonts w:cs="Times New Roman"/>
    </w:rPr>
  </w:style>
  <w:style w:type="paragraph" w:styleId="llb">
    <w:name w:val="footer"/>
    <w:basedOn w:val="Norml"/>
    <w:link w:val="llbChar"/>
    <w:uiPriority w:val="99"/>
    <w:rsid w:val="00D8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84970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2E4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7F78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E40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FA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8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84970"/>
    <w:rPr>
      <w:rFonts w:cs="Times New Roman"/>
    </w:rPr>
  </w:style>
  <w:style w:type="paragraph" w:styleId="llb">
    <w:name w:val="footer"/>
    <w:basedOn w:val="Norml"/>
    <w:link w:val="llbChar"/>
    <w:uiPriority w:val="99"/>
    <w:rsid w:val="00D8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84970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2E4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7F78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E40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Alvincz József dr.</dc:creator>
  <cp:lastModifiedBy>Ujj Zsuzsanna</cp:lastModifiedBy>
  <cp:revision>2</cp:revision>
  <cp:lastPrinted>2014-05-15T12:48:00Z</cp:lastPrinted>
  <dcterms:created xsi:type="dcterms:W3CDTF">2014-07-07T13:59:00Z</dcterms:created>
  <dcterms:modified xsi:type="dcterms:W3CDTF">2014-07-07T13:59:00Z</dcterms:modified>
</cp:coreProperties>
</file>