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E34C9" w14:textId="77777777"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B42C0A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14:paraId="7E1BB2E5" w14:textId="77777777"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14:paraId="07AAFE05" w14:textId="2B78A6F2" w:rsidR="006816CE" w:rsidRPr="00E158C9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  <w:r w:rsidRPr="00E158C9">
        <w:rPr>
          <w:color w:val="000000"/>
          <w:sz w:val="24"/>
          <w:szCs w:val="24"/>
        </w:rPr>
        <w:t xml:space="preserve">A </w:t>
      </w:r>
      <w:r w:rsidRPr="00AB6DDD">
        <w:rPr>
          <w:color w:val="000000"/>
          <w:sz w:val="24"/>
          <w:szCs w:val="24"/>
        </w:rPr>
        <w:t xml:space="preserve">Debreceni Egyetem </w:t>
      </w:r>
      <w:r w:rsidRPr="00505A4E">
        <w:rPr>
          <w:color w:val="000000"/>
          <w:sz w:val="24"/>
          <w:szCs w:val="24"/>
        </w:rPr>
        <w:t>(4032 Debrecen, Egyetem tér 1., a továbbiakban: Kérelmező)</w:t>
      </w:r>
      <w:r w:rsidR="00B42C0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505A4E">
        <w:rPr>
          <w:color w:val="000000"/>
          <w:sz w:val="24"/>
          <w:szCs w:val="24"/>
        </w:rPr>
        <w:t>Általános Orvostudományi Kar</w:t>
      </w:r>
      <w:r w:rsidR="00B42C0A">
        <w:rPr>
          <w:color w:val="000000"/>
          <w:sz w:val="24"/>
          <w:szCs w:val="24"/>
        </w:rPr>
        <w:t>,</w:t>
      </w:r>
      <w:r w:rsidRPr="00AB6DDD">
        <w:rPr>
          <w:color w:val="000000"/>
          <w:sz w:val="24"/>
          <w:szCs w:val="24"/>
        </w:rPr>
        <w:t xml:space="preserve"> Orvosi Vegytani Intézet </w:t>
      </w:r>
      <w:r w:rsidRPr="00AB6DDD">
        <w:rPr>
          <w:sz w:val="24"/>
          <w:szCs w:val="24"/>
        </w:rPr>
        <w:t>ügyében, géntechnológiával módosított szervezetek 2. biztonsági elszigetelési szintbe sorolt zárt rendszerben történő felhasználását – a Géntechnológiai Eljárásokat Véleményező Bizottság (a továbbiakban: Bizottság) GA-2025-19. számú véleményének, valamint a Nemzeti Népegészségügyi és Gyógyszerészeti Központ, Gyógyszer-engedélyezési Igazgatóság (a továbbiakban: egészségügyi szakhatóság) NNGYK/ETGY/7353-4/2025. számú szakhatósági állásfoglalásának figyelembevételével – 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14:paraId="45DFBEFD" w14:textId="77777777" w:rsidR="006816CE" w:rsidRPr="00827266" w:rsidRDefault="006816CE" w:rsidP="006816CE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14:paraId="33AEBA17" w14:textId="77777777" w:rsidR="006816CE" w:rsidRPr="00827266" w:rsidRDefault="006816CE" w:rsidP="006816CE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r w:rsidRPr="00827266">
        <w:rPr>
          <w:b/>
          <w:spacing w:val="54"/>
          <w:sz w:val="24"/>
          <w:szCs w:val="24"/>
        </w:rPr>
        <w:t>engedélyezem.</w:t>
      </w:r>
    </w:p>
    <w:p w14:paraId="5125D773" w14:textId="77777777" w:rsidR="006816CE" w:rsidRDefault="006816CE" w:rsidP="006816CE">
      <w:pPr>
        <w:pStyle w:val="Szvegtrzs2"/>
        <w:spacing w:line="276" w:lineRule="auto"/>
        <w:jc w:val="both"/>
      </w:pPr>
    </w:p>
    <w:p w14:paraId="33C7417A" w14:textId="77777777" w:rsidR="006816CE" w:rsidRPr="006816CE" w:rsidRDefault="006816CE" w:rsidP="006816CE">
      <w:pPr>
        <w:pStyle w:val="Szvegtrzs2"/>
        <w:spacing w:line="276" w:lineRule="auto"/>
        <w:jc w:val="both"/>
        <w:rPr>
          <w:sz w:val="24"/>
          <w:szCs w:val="24"/>
        </w:rPr>
      </w:pPr>
      <w:r w:rsidRPr="006816CE">
        <w:rPr>
          <w:sz w:val="24"/>
          <w:szCs w:val="24"/>
        </w:rPr>
        <w:t>J</w:t>
      </w:r>
      <w:r w:rsidR="003D2344">
        <w:rPr>
          <w:sz w:val="24"/>
          <w:szCs w:val="24"/>
        </w:rPr>
        <w:t>elen engedély 2035. május 14.</w:t>
      </w:r>
      <w:r w:rsidRPr="006816CE">
        <w:rPr>
          <w:sz w:val="24"/>
          <w:szCs w:val="24"/>
        </w:rPr>
        <w:t xml:space="preserve"> napjáig érvényes.</w:t>
      </w:r>
    </w:p>
    <w:p w14:paraId="7E27B1F8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</w:p>
    <w:p w14:paraId="53E37054" w14:textId="77777777" w:rsidR="006816CE" w:rsidRPr="006816CE" w:rsidRDefault="006816CE" w:rsidP="006816CE">
      <w:pPr>
        <w:tabs>
          <w:tab w:val="left" w:pos="709"/>
        </w:tabs>
        <w:spacing w:line="276" w:lineRule="auto"/>
        <w:jc w:val="both"/>
        <w:rPr>
          <w:bCs/>
        </w:rPr>
      </w:pPr>
      <w:r w:rsidRPr="006816CE">
        <w:t>A géntechnológiával módosított szervezetek zárt rendszerű felhasználása a BGMF/4-</w:t>
      </w:r>
      <w:r>
        <w:t>6</w:t>
      </w:r>
      <w:r w:rsidRPr="006816CE">
        <w:t>/2025.</w:t>
      </w:r>
      <w:r w:rsidRPr="006816CE">
        <w:rPr>
          <w:color w:val="000000"/>
        </w:rPr>
        <w:t xml:space="preserve"> </w:t>
      </w:r>
      <w:r w:rsidRPr="006816CE">
        <w:t xml:space="preserve">ügyiratszámú határozattal engedélyezett 2. biztonsági elszigetelési szintű géntechnológiai módosítást végző létesítményben engedélyezett. </w:t>
      </w:r>
    </w:p>
    <w:p w14:paraId="57591C75" w14:textId="77777777" w:rsidR="006816CE" w:rsidRPr="006816CE" w:rsidRDefault="006816CE" w:rsidP="006816CE">
      <w:pPr>
        <w:spacing w:line="276" w:lineRule="auto"/>
        <w:jc w:val="both"/>
      </w:pPr>
    </w:p>
    <w:p w14:paraId="10A59B75" w14:textId="77777777" w:rsidR="006816CE" w:rsidRPr="006816CE" w:rsidRDefault="006816CE" w:rsidP="006816CE">
      <w:pPr>
        <w:spacing w:line="276" w:lineRule="auto"/>
        <w:jc w:val="both"/>
        <w:rPr>
          <w:b/>
        </w:rPr>
      </w:pPr>
      <w:r w:rsidRPr="006816CE">
        <w:rPr>
          <w:b/>
        </w:rPr>
        <w:t xml:space="preserve">Zárt rendszerben az alábbi géntechnológiai tevékenységek engedélyezettek: </w:t>
      </w:r>
    </w:p>
    <w:p w14:paraId="3C49A102" w14:textId="77777777" w:rsidR="006816CE" w:rsidRPr="006816CE" w:rsidRDefault="006816CE" w:rsidP="006816CE">
      <w:pPr>
        <w:spacing w:line="276" w:lineRule="auto"/>
        <w:jc w:val="both"/>
        <w:rPr>
          <w:b/>
        </w:rPr>
      </w:pPr>
    </w:p>
    <w:p w14:paraId="6FB2AAD5" w14:textId="77777777" w:rsidR="006816CE" w:rsidRPr="006816CE" w:rsidRDefault="006816CE" w:rsidP="006816C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6816CE">
        <w:rPr>
          <w:bCs/>
          <w:color w:val="000000"/>
        </w:rPr>
        <w:t xml:space="preserve">rekombináns DNS sokszorosítása </w:t>
      </w:r>
      <w:r w:rsidRPr="006816CE">
        <w:rPr>
          <w:bCs/>
          <w:i/>
          <w:iCs/>
          <w:color w:val="000000"/>
        </w:rPr>
        <w:t xml:space="preserve">Escherichia coli </w:t>
      </w:r>
      <w:r w:rsidRPr="006816CE">
        <w:rPr>
          <w:bCs/>
          <w:color w:val="000000"/>
        </w:rPr>
        <w:t>baktériumokba vagy emlős sejtekbe való bejuttatás céljából;</w:t>
      </w:r>
    </w:p>
    <w:p w14:paraId="345096CE" w14:textId="77777777" w:rsidR="006816CE" w:rsidRPr="006816CE" w:rsidRDefault="006816CE" w:rsidP="006816CE">
      <w:pPr>
        <w:numPr>
          <w:ilvl w:val="0"/>
          <w:numId w:val="3"/>
        </w:numPr>
        <w:autoSpaceDE w:val="0"/>
        <w:autoSpaceDN w:val="0"/>
        <w:adjustRightInd w:val="0"/>
        <w:spacing w:after="49" w:line="276" w:lineRule="auto"/>
        <w:jc w:val="both"/>
        <w:rPr>
          <w:bCs/>
          <w:color w:val="000000"/>
        </w:rPr>
      </w:pPr>
      <w:r w:rsidRPr="006816CE">
        <w:rPr>
          <w:bCs/>
          <w:color w:val="000000"/>
        </w:rPr>
        <w:t xml:space="preserve">rekombináns fehérjék, illetve ezek mutánsainak kifejezése </w:t>
      </w:r>
      <w:r w:rsidRPr="006816CE">
        <w:rPr>
          <w:bCs/>
          <w:i/>
          <w:iCs/>
          <w:color w:val="000000"/>
        </w:rPr>
        <w:t xml:space="preserve">E. coli </w:t>
      </w:r>
      <w:r w:rsidRPr="006816CE">
        <w:rPr>
          <w:bCs/>
          <w:color w:val="000000"/>
        </w:rPr>
        <w:t xml:space="preserve">alapú expressziós rendszerben a fehérje biológiai funkciójának </w:t>
      </w:r>
      <w:r w:rsidRPr="006816CE">
        <w:rPr>
          <w:bCs/>
          <w:i/>
          <w:iCs/>
          <w:color w:val="000000"/>
        </w:rPr>
        <w:t xml:space="preserve">in vitro </w:t>
      </w:r>
      <w:r w:rsidRPr="006816CE">
        <w:rPr>
          <w:bCs/>
          <w:color w:val="000000"/>
        </w:rPr>
        <w:t xml:space="preserve">vizsgálatára; </w:t>
      </w:r>
    </w:p>
    <w:p w14:paraId="12B62632" w14:textId="77777777" w:rsidR="006816CE" w:rsidRPr="006816CE" w:rsidRDefault="006816CE" w:rsidP="006816CE">
      <w:pPr>
        <w:numPr>
          <w:ilvl w:val="0"/>
          <w:numId w:val="3"/>
        </w:numPr>
        <w:autoSpaceDE w:val="0"/>
        <w:autoSpaceDN w:val="0"/>
        <w:adjustRightInd w:val="0"/>
        <w:spacing w:after="49" w:line="276" w:lineRule="auto"/>
        <w:jc w:val="both"/>
        <w:rPr>
          <w:bCs/>
          <w:color w:val="000000"/>
        </w:rPr>
      </w:pPr>
      <w:r w:rsidRPr="006816CE">
        <w:rPr>
          <w:bCs/>
          <w:color w:val="000000"/>
        </w:rPr>
        <w:t xml:space="preserve">rekombináns fehérjék, illetve ezek mutánsainak kifejezése emlős expressziós rendszerben a fehérje sejtfunkciókra gyakorolt hatásának és biológiai funkciójának </w:t>
      </w:r>
      <w:r w:rsidRPr="006816CE">
        <w:rPr>
          <w:bCs/>
          <w:i/>
          <w:iCs/>
          <w:color w:val="000000"/>
        </w:rPr>
        <w:t xml:space="preserve">in vitro </w:t>
      </w:r>
      <w:r w:rsidRPr="006816CE">
        <w:rPr>
          <w:bCs/>
          <w:color w:val="000000"/>
        </w:rPr>
        <w:t>vizsgálatára;</w:t>
      </w:r>
    </w:p>
    <w:p w14:paraId="70E3F8F8" w14:textId="77777777" w:rsidR="006816CE" w:rsidRPr="006816CE" w:rsidRDefault="006816CE" w:rsidP="006816CE">
      <w:pPr>
        <w:numPr>
          <w:ilvl w:val="0"/>
          <w:numId w:val="3"/>
        </w:numPr>
        <w:autoSpaceDE w:val="0"/>
        <w:autoSpaceDN w:val="0"/>
        <w:adjustRightInd w:val="0"/>
        <w:spacing w:after="49" w:line="276" w:lineRule="auto"/>
        <w:jc w:val="both"/>
        <w:rPr>
          <w:bCs/>
          <w:color w:val="000000"/>
        </w:rPr>
      </w:pPr>
      <w:r w:rsidRPr="006816CE">
        <w:rPr>
          <w:bCs/>
          <w:color w:val="000000"/>
        </w:rPr>
        <w:t>miRNS/miRNS inhibitor/3’-UTR expressziójára alkalmas plazmidok bejuttatása emlős sejtekbe;</w:t>
      </w:r>
    </w:p>
    <w:p w14:paraId="74D333C2" w14:textId="77777777" w:rsidR="006816CE" w:rsidRPr="006816CE" w:rsidRDefault="006816CE" w:rsidP="006816CE">
      <w:pPr>
        <w:numPr>
          <w:ilvl w:val="0"/>
          <w:numId w:val="3"/>
        </w:numPr>
        <w:autoSpaceDE w:val="0"/>
        <w:autoSpaceDN w:val="0"/>
        <w:adjustRightInd w:val="0"/>
        <w:spacing w:after="49" w:line="276" w:lineRule="auto"/>
        <w:jc w:val="both"/>
        <w:rPr>
          <w:bCs/>
          <w:color w:val="000000"/>
        </w:rPr>
      </w:pPr>
      <w:r w:rsidRPr="006816CE">
        <w:rPr>
          <w:bCs/>
          <w:color w:val="000000"/>
        </w:rPr>
        <w:t>szintetikus siRNS/miRNS/miRNS inhibitor bejuttatása emlős sejtekbe géncsendesítés céljából;</w:t>
      </w:r>
    </w:p>
    <w:p w14:paraId="65758872" w14:textId="77777777" w:rsidR="006816CE" w:rsidRPr="006816CE" w:rsidRDefault="006816CE" w:rsidP="006816CE">
      <w:pPr>
        <w:numPr>
          <w:ilvl w:val="0"/>
          <w:numId w:val="3"/>
        </w:numPr>
        <w:autoSpaceDE w:val="0"/>
        <w:autoSpaceDN w:val="0"/>
        <w:adjustRightInd w:val="0"/>
        <w:spacing w:after="49" w:line="276" w:lineRule="auto"/>
        <w:jc w:val="both"/>
        <w:rPr>
          <w:bCs/>
          <w:color w:val="000000"/>
        </w:rPr>
      </w:pPr>
      <w:r w:rsidRPr="006816CE">
        <w:rPr>
          <w:bCs/>
          <w:color w:val="000000"/>
        </w:rPr>
        <w:t>CRISPR plazmidok bejuttatása emlős sejtvonalakban génszerkesztés céljából;</w:t>
      </w:r>
    </w:p>
    <w:p w14:paraId="690057B3" w14:textId="77777777" w:rsidR="006816CE" w:rsidRPr="006816CE" w:rsidRDefault="006816CE" w:rsidP="006816CE">
      <w:pPr>
        <w:numPr>
          <w:ilvl w:val="0"/>
          <w:numId w:val="3"/>
        </w:numPr>
        <w:autoSpaceDE w:val="0"/>
        <w:autoSpaceDN w:val="0"/>
        <w:adjustRightInd w:val="0"/>
        <w:spacing w:after="49" w:line="276" w:lineRule="auto"/>
        <w:jc w:val="both"/>
        <w:rPr>
          <w:bCs/>
          <w:color w:val="000000"/>
        </w:rPr>
      </w:pPr>
      <w:r w:rsidRPr="006816CE">
        <w:rPr>
          <w:bCs/>
          <w:color w:val="000000"/>
        </w:rPr>
        <w:t>emlős és bakteriális expressziós vektorba illesztett rekombináns fehérjét kódoló cDNS-k oligonukleotid vezérelt mutagenezise;</w:t>
      </w:r>
    </w:p>
    <w:p w14:paraId="4D316982" w14:textId="77777777" w:rsidR="006816CE" w:rsidRPr="006816CE" w:rsidRDefault="006816CE" w:rsidP="006816CE">
      <w:pPr>
        <w:numPr>
          <w:ilvl w:val="0"/>
          <w:numId w:val="3"/>
        </w:numPr>
        <w:autoSpaceDE w:val="0"/>
        <w:autoSpaceDN w:val="0"/>
        <w:adjustRightInd w:val="0"/>
        <w:spacing w:after="49" w:line="276" w:lineRule="auto"/>
        <w:jc w:val="both"/>
        <w:rPr>
          <w:bCs/>
          <w:color w:val="000000"/>
        </w:rPr>
      </w:pPr>
      <w:r w:rsidRPr="006816CE">
        <w:rPr>
          <w:bCs/>
          <w:color w:val="000000"/>
        </w:rPr>
        <w:t xml:space="preserve">géntechnológiával módosított egerek </w:t>
      </w:r>
      <w:r w:rsidRPr="006816CE">
        <w:rPr>
          <w:bCs/>
          <w:i/>
          <w:color w:val="000000"/>
        </w:rPr>
        <w:t>(Mus musculus)</w:t>
      </w:r>
      <w:r w:rsidRPr="006816CE">
        <w:rPr>
          <w:bCs/>
          <w:color w:val="000000"/>
        </w:rPr>
        <w:t xml:space="preserve"> különböző szerveinek, szöveteinek, sejtjeinek vizsgálata az érintett gén szerepének, hatásának feltárása érdekében;</w:t>
      </w:r>
    </w:p>
    <w:p w14:paraId="7BA98740" w14:textId="77777777" w:rsidR="006816CE" w:rsidRPr="006816CE" w:rsidRDefault="006816CE" w:rsidP="006816C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6816CE">
        <w:rPr>
          <w:bCs/>
          <w:color w:val="000000"/>
        </w:rPr>
        <w:t xml:space="preserve">lentivirális, adenovirális, adeno-asszociált vírus hordozórendszerek előállítása gének bevitelére és géninaktiválásra emlős sejtmodellekben. </w:t>
      </w:r>
    </w:p>
    <w:p w14:paraId="31B69916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</w:p>
    <w:p w14:paraId="451BBE21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  <w:r w:rsidRPr="006816CE">
        <w:rPr>
          <w:sz w:val="24"/>
          <w:szCs w:val="24"/>
        </w:rPr>
        <w:t>Az egészségügyi szakhatóság 2025. április 23. napján kelt, NNGYK/ETGY/7353-4/2025. iktatószámú szakhatósági állásfoglalásának rendelkező része szerint:</w:t>
      </w:r>
    </w:p>
    <w:p w14:paraId="5459C95C" w14:textId="77777777" w:rsidR="006816CE" w:rsidRPr="00827266" w:rsidRDefault="006816CE" w:rsidP="006816CE">
      <w:pPr>
        <w:pStyle w:val="Szvegtrzs3"/>
        <w:spacing w:line="276" w:lineRule="auto"/>
        <w:rPr>
          <w:b/>
          <w:sz w:val="24"/>
          <w:szCs w:val="24"/>
        </w:rPr>
      </w:pPr>
    </w:p>
    <w:p w14:paraId="138EB24E" w14:textId="77777777" w:rsidR="006816CE" w:rsidRPr="00827266" w:rsidRDefault="006816CE" w:rsidP="006816CE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14:paraId="645B12AE" w14:textId="77777777" w:rsidR="006816CE" w:rsidRPr="00827266" w:rsidRDefault="006816CE" w:rsidP="006816CE">
      <w:pPr>
        <w:pStyle w:val="Szvegtrzs3"/>
        <w:spacing w:line="276" w:lineRule="auto"/>
        <w:rPr>
          <w:sz w:val="24"/>
          <w:szCs w:val="24"/>
        </w:rPr>
      </w:pPr>
    </w:p>
    <w:p w14:paraId="14E88DD5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  <w:r w:rsidRPr="006816CE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14:paraId="3895D815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</w:p>
    <w:p w14:paraId="678F5DD7" w14:textId="77777777" w:rsidR="00E50E28" w:rsidRPr="00A723C4" w:rsidRDefault="00E50E28" w:rsidP="00E50E28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>A bíróság egyszerűsített perben bírálhatja el a pert, ha a felperes ezt a keresetlevélben kéri és az alperes a védiratban nem ellenzi.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Itv.)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14:paraId="020FF480" w14:textId="77777777" w:rsidR="006816CE" w:rsidRPr="006816CE" w:rsidRDefault="006816CE" w:rsidP="006816CE">
      <w:pPr>
        <w:pStyle w:val="Listaszerbekezds"/>
        <w:autoSpaceDE w:val="0"/>
        <w:autoSpaceDN w:val="0"/>
        <w:spacing w:line="276" w:lineRule="auto"/>
        <w:ind w:left="0"/>
        <w:jc w:val="both"/>
      </w:pPr>
    </w:p>
    <w:p w14:paraId="39237B7D" w14:textId="77777777" w:rsidR="006816CE" w:rsidRPr="006816CE" w:rsidRDefault="006816CE" w:rsidP="006816CE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6816CE">
        <w:t>A Kérelmező az igazgatási szolgáltatási díj megfizetése alól mentesül, egyéb eljárási költség nem merült fel.</w:t>
      </w:r>
    </w:p>
    <w:p w14:paraId="21452B9A" w14:textId="77777777" w:rsidR="006816CE" w:rsidRPr="006816CE" w:rsidRDefault="006816CE" w:rsidP="006816CE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14:paraId="75A67E78" w14:textId="77777777" w:rsidR="006816CE" w:rsidRPr="006816CE" w:rsidRDefault="006816CE" w:rsidP="006816CE">
      <w:pPr>
        <w:pStyle w:val="Szvegtrzs2"/>
        <w:spacing w:line="276" w:lineRule="auto"/>
        <w:jc w:val="both"/>
        <w:rPr>
          <w:sz w:val="24"/>
          <w:szCs w:val="24"/>
        </w:rPr>
      </w:pPr>
      <w:r w:rsidRPr="006816CE">
        <w:rPr>
          <w:sz w:val="24"/>
          <w:szCs w:val="24"/>
        </w:rPr>
        <w:t xml:space="preserve">A jelen határozatommal engedélyezett tevékenység ellenőrzése érdekében, véglegessé vált határozatom másolati példányait tájékoztatásul megküldöm a </w:t>
      </w:r>
      <w:r w:rsidRPr="006816CE">
        <w:rPr>
          <w:i/>
          <w:sz w:val="24"/>
          <w:szCs w:val="24"/>
        </w:rPr>
        <w:t>földművelésügyi hatósági és igazgatási feladatokat ellátó szervek kijelöléséről</w:t>
      </w:r>
      <w:r w:rsidRPr="006816CE">
        <w:rPr>
          <w:sz w:val="24"/>
          <w:szCs w:val="24"/>
        </w:rPr>
        <w:t xml:space="preserve"> szóló 383/2016. (XII. 2.) Korm. rendelet 28. § (2) bekezdésében meghatározott hatóságoknak.</w:t>
      </w:r>
    </w:p>
    <w:p w14:paraId="0F4EC565" w14:textId="77777777" w:rsidR="006816CE" w:rsidRPr="00827266" w:rsidRDefault="006816CE" w:rsidP="006816CE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14:paraId="5BF77AA6" w14:textId="77777777" w:rsidR="006816CE" w:rsidRPr="00827266" w:rsidRDefault="006816CE" w:rsidP="006816CE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14:paraId="40290CAB" w14:textId="77777777" w:rsidR="006816CE" w:rsidRPr="00827266" w:rsidRDefault="006816CE" w:rsidP="006816CE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14:paraId="01D7D836" w14:textId="77777777" w:rsidR="006816CE" w:rsidRPr="006816CE" w:rsidRDefault="006816CE" w:rsidP="006816CE">
      <w:pPr>
        <w:spacing w:line="276" w:lineRule="auto"/>
        <w:jc w:val="both"/>
      </w:pPr>
      <w:r w:rsidRPr="006816CE">
        <w:t>A Kérelmező 2025. március 10. napján géntechnológiával módosított szervezet 2. biztonsági elszigetelési szintbe sorolt zárt rendszerben történő felhasználása tárgyában kérelmet (a továbbiakban: kérelem) nyújtott be Hatóságomhoz.</w:t>
      </w:r>
    </w:p>
    <w:p w14:paraId="508E4C29" w14:textId="77777777" w:rsidR="006816CE" w:rsidRPr="006816CE" w:rsidRDefault="006816CE" w:rsidP="006816CE">
      <w:pPr>
        <w:spacing w:line="276" w:lineRule="auto"/>
        <w:jc w:val="both"/>
      </w:pPr>
    </w:p>
    <w:p w14:paraId="7E0C91BE" w14:textId="77777777" w:rsidR="006816CE" w:rsidRPr="006816CE" w:rsidRDefault="006816CE" w:rsidP="006816CE">
      <w:pPr>
        <w:pStyle w:val="Szvegtrzs2"/>
        <w:spacing w:line="276" w:lineRule="auto"/>
        <w:jc w:val="both"/>
        <w:rPr>
          <w:color w:val="000000"/>
          <w:sz w:val="24"/>
          <w:szCs w:val="24"/>
        </w:rPr>
      </w:pPr>
      <w:r w:rsidRPr="006816CE">
        <w:rPr>
          <w:sz w:val="24"/>
          <w:szCs w:val="24"/>
        </w:rPr>
        <w:lastRenderedPageBreak/>
        <w:t xml:space="preserve">Az engedély iránti kérelmet </w:t>
      </w:r>
      <w:r w:rsidRPr="006816CE">
        <w:rPr>
          <w:i/>
          <w:sz w:val="24"/>
          <w:szCs w:val="24"/>
        </w:rPr>
        <w:t xml:space="preserve">a géntechnológiai tevékenységről </w:t>
      </w:r>
      <w:r w:rsidRPr="006816CE">
        <w:rPr>
          <w:sz w:val="24"/>
          <w:szCs w:val="24"/>
        </w:rPr>
        <w:t xml:space="preserve">szóló 1998. évi XXVII. törvény (a továbbiakban: Gtv.) 8. §-a, valamint </w:t>
      </w:r>
      <w:r w:rsidRPr="006816CE">
        <w:rPr>
          <w:i/>
          <w:sz w:val="24"/>
          <w:szCs w:val="24"/>
        </w:rPr>
        <w:t>a géntechnológiai tevékenység engedélyezési eljárási rendjéről, valamint az eljárás során az Európai Bizottsággal való kapcsolattartásról</w:t>
      </w:r>
      <w:r w:rsidRPr="006816CE">
        <w:rPr>
          <w:sz w:val="24"/>
          <w:szCs w:val="24"/>
        </w:rPr>
        <w:t xml:space="preserve"> szóló 132/2004. (IV. 29.) Korm. rendelet (a továbbiakban: Rendelet) 2. §-a alapján megvizsgáltam, és megállapítottam, hogy a Kérelmező által benyújtott dokumentáció hiányosságokat tartalmaz</w:t>
      </w:r>
      <w:r w:rsidRPr="006816CE">
        <w:rPr>
          <w:color w:val="000000"/>
          <w:sz w:val="24"/>
          <w:szCs w:val="24"/>
        </w:rPr>
        <w:t>. Ennek megfelelően 2025. március 11. napján hiánypótlásra szólítottam fel a Kérelmezőt az alábbiak tekintetében:</w:t>
      </w:r>
    </w:p>
    <w:p w14:paraId="4340167E" w14:textId="77777777" w:rsidR="006816CE" w:rsidRPr="006816CE" w:rsidRDefault="006816CE" w:rsidP="006816CE">
      <w:pPr>
        <w:pStyle w:val="Szvegtrzs2"/>
        <w:spacing w:line="276" w:lineRule="auto"/>
        <w:jc w:val="both"/>
        <w:rPr>
          <w:color w:val="000000"/>
          <w:sz w:val="24"/>
          <w:szCs w:val="24"/>
        </w:rPr>
      </w:pPr>
    </w:p>
    <w:p w14:paraId="0CABABFB" w14:textId="77777777" w:rsidR="006816CE" w:rsidRPr="006816CE" w:rsidRDefault="006816CE" w:rsidP="006816CE">
      <w:pPr>
        <w:numPr>
          <w:ilvl w:val="0"/>
          <w:numId w:val="32"/>
        </w:numPr>
        <w:shd w:val="clear" w:color="auto" w:fill="FFFFFF"/>
        <w:spacing w:before="100" w:beforeAutospacing="1" w:line="276" w:lineRule="auto"/>
        <w:jc w:val="both"/>
        <w:rPr>
          <w:bCs/>
          <w:color w:val="000000"/>
        </w:rPr>
      </w:pPr>
      <w:r w:rsidRPr="006816CE">
        <w:rPr>
          <w:lang w:eastAsia="en-GB"/>
        </w:rPr>
        <w:t>a kockázatértékelések 7. pontjának kitöltése nem releváns; valamint</w:t>
      </w:r>
    </w:p>
    <w:p w14:paraId="30F1653F" w14:textId="77777777" w:rsidR="006816CE" w:rsidRPr="006816CE" w:rsidRDefault="006816CE" w:rsidP="006816CE">
      <w:pPr>
        <w:numPr>
          <w:ilvl w:val="0"/>
          <w:numId w:val="32"/>
        </w:numPr>
        <w:shd w:val="clear" w:color="auto" w:fill="FFFFFF"/>
        <w:spacing w:before="100" w:beforeAutospacing="1" w:line="276" w:lineRule="auto"/>
        <w:jc w:val="both"/>
        <w:rPr>
          <w:color w:val="000000"/>
        </w:rPr>
      </w:pPr>
      <w:r w:rsidRPr="006816CE">
        <w:rPr>
          <w:lang w:eastAsia="en-GB"/>
        </w:rPr>
        <w:t xml:space="preserve">pótolja Virág László illetve Bay Péter önéletrajzát magyar nyelven. </w:t>
      </w:r>
    </w:p>
    <w:p w14:paraId="37C5EA0B" w14:textId="77777777" w:rsidR="006816CE" w:rsidRPr="006816CE" w:rsidRDefault="006816CE" w:rsidP="006816C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14:paraId="3EB07EC3" w14:textId="77777777" w:rsidR="006816CE" w:rsidRPr="006816CE" w:rsidRDefault="006816CE" w:rsidP="006816CE">
      <w:pPr>
        <w:spacing w:line="276" w:lineRule="auto"/>
        <w:jc w:val="both"/>
        <w:rPr>
          <w:color w:val="000000"/>
        </w:rPr>
      </w:pPr>
      <w:r w:rsidRPr="006816CE">
        <w:rPr>
          <w:color w:val="000000"/>
        </w:rPr>
        <w:t>A Kérelmező 2025. március 12. napján elektronikus úton küldött válaszában megküldte válaszait Hatóságomnak, így megfelelt a hiánypótlási felhívásnak</w:t>
      </w:r>
    </w:p>
    <w:p w14:paraId="13FBE5B8" w14:textId="77777777" w:rsidR="006816CE" w:rsidRPr="006816CE" w:rsidRDefault="006816CE" w:rsidP="006816CE">
      <w:pPr>
        <w:spacing w:line="276" w:lineRule="auto"/>
        <w:jc w:val="both"/>
        <w:rPr>
          <w:color w:val="000000"/>
        </w:rPr>
      </w:pPr>
    </w:p>
    <w:p w14:paraId="41A88661" w14:textId="77777777" w:rsidR="006816CE" w:rsidRPr="006816CE" w:rsidRDefault="006816CE" w:rsidP="006816CE">
      <w:pPr>
        <w:spacing w:line="276" w:lineRule="auto"/>
        <w:jc w:val="both"/>
      </w:pPr>
      <w:r w:rsidRPr="006816CE">
        <w:rPr>
          <w:color w:val="000000"/>
        </w:rPr>
        <w:t>Az engedélyezés iránti dokumentációt szakhatósági állásfoglalás céljából az egészségügyi szakhatóság részére BGMF/288-1/2025. ügyiratszámon 2025. március 14. napján, hivatali kapun, valamint bizottsági véleményezés céljából a Bizottság részére BGMF/288-2/2025. ügyiratszámon 2025. március 14. napján megküldtem.</w:t>
      </w:r>
    </w:p>
    <w:p w14:paraId="79381C77" w14:textId="77777777" w:rsidR="006816CE" w:rsidRPr="006816CE" w:rsidRDefault="006816CE" w:rsidP="006816CE">
      <w:pPr>
        <w:pStyle w:val="Default"/>
        <w:spacing w:line="276" w:lineRule="auto"/>
        <w:jc w:val="both"/>
        <w:rPr>
          <w:lang w:eastAsia="x-none"/>
        </w:rPr>
      </w:pPr>
    </w:p>
    <w:p w14:paraId="78A8EA47" w14:textId="77777777" w:rsidR="006816CE" w:rsidRPr="006816CE" w:rsidRDefault="006816CE" w:rsidP="006816CE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6816CE">
        <w:rPr>
          <w:lang w:eastAsia="x-none"/>
        </w:rPr>
        <w:t>Tárgyi ügyben az egészségügyi szakhatóság NNGYK/ETGY/7353-4/2025 ügyiratszámú 2025. április 24. napján érkezett szakhatósági állásfoglalásában a kérelemben jelölt 2. biztonsági elszigetelési szintű</w:t>
      </w:r>
      <w:r w:rsidRPr="006816CE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 w:rsidRPr="006816CE">
        <w:rPr>
          <w:bCs/>
          <w:i/>
          <w:color w:val="auto"/>
          <w:lang w:eastAsia="x-none"/>
        </w:rPr>
        <w:t xml:space="preserve">„A Debreceni Egyetem Általános Orvostudományi Kar, Orvosi Vegytani Intézet tevékenységének célja az összes főbb szervrendszer és a közöttük levő kölcsönhatások vizsgálata, hogy bizonyos betegségek patogenezisét jobban meg lehessen érteni és új gyógyszerképes molekuláris célpontokat azonosíthassanak. A géntechnológiai tevékenységeik során alkalmazott recipiens szervezeteik: KO, illetve transzgenikus egértörzsek, Escherichia coli különböző kereskedelmi forgalomban kapható törzsei, valamint szintén kereskedelmi forgalomban kapható humán és emlős sejtvonalak. A donorszervezeteket, a használt vektorrendszereket, és a bevitt genetikai elemek funkcióit ismertették. A Kérelmező által használni kívánt GM egerek nem toxikusak, nem patogének, nem allergénebbek, mint a vad típusú társaik. A virális vektorokból kizárólag replikáció inkompetens retro-, adeno, és lentivirális rendszereket, valamint adeno-asszociált vírusvektorokat használnak. A lentivirális vektort HEK293 sejtekben állítják elő, majd a vírusrészecskéket izolálják és a vizsgálandó sejtvonal sejtjeibe transzdukálják. A transzdukált sejtek stabilak, genomjukba stabilan integrálódott a virális genom, ami azonban nem képes funkcióképes vírusrécsecskéket előállítani, mert a csomagolási rendszer több plazmidra van osztva. A virális rendszerek közvetlen felhasználásból származó veszélyek között szerepel az emberi vagy állati sejtekkel való nem szándékos fertőzés lehetősége, különösen, ha a vektorrendszer nem megfelelően inaktivált. Bár a Kérelmező által használt vírusvektorok nem replikálódók, fennállhat a veszélye annak, hogy a genetikai anyag más génekkel, például onkogénekkel kölcsönhatásba lép, ami váratlan sejtváltozásokhoz vezethet. Az immunválasz is jelenthet kockázatot, különösen nagy mennyiségű virális közvetítőanyag felhasználása esetén, ami gyulladást vagy túlérzékenységi reakciókat okozhat. A használt GM baktériumok és sejtvonalak kockázatértékelését a </w:t>
      </w:r>
      <w:r w:rsidRPr="006816CE">
        <w:rPr>
          <w:bCs/>
          <w:i/>
          <w:color w:val="auto"/>
          <w:lang w:eastAsia="x-none"/>
        </w:rPr>
        <w:lastRenderedPageBreak/>
        <w:t>Kérelmező szintén benyújtotta. Humánegészségügyi kockázat bizonyos bakteriális törzsek internalizációja, amely enyhe hasmenéssel járhat. Kockázat továbbá bizonyos baktériumok (illetve bakteriális plazmidok) antibiotikum-rezisztencia génje, amely nem megfelelő kezelés esetén más baktériumokba is eljuthat. De az antibiotikumrezisztencia-gén megőrződéséhez az adott antibiotikumnak való kitettség szükséges, továbbá, a 2. biztonsági elszigeteléshez tartozó intézkedések az ebből eredő kockázatokat is minimálisra csökkentik. Összességében a tevékenység humánegészségügyi kockázata: alacsony, mely a 2. biztonsági elszigetelési szintű létesítményben az óvintézkedések betartása mellett kellő biztonsággal végezhető. A tevékenység humán-egészségügyi szempontból engedélyezhető.”</w:t>
      </w:r>
    </w:p>
    <w:p w14:paraId="0330991D" w14:textId="77777777" w:rsidR="006816CE" w:rsidRPr="006816CE" w:rsidRDefault="006816CE" w:rsidP="006816CE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14:paraId="7A6E8FA0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  <w:r w:rsidRPr="006816CE">
        <w:rPr>
          <w:sz w:val="24"/>
          <w:szCs w:val="24"/>
        </w:rPr>
        <w:t>A Bizottság 2025. március 21. napján arról tájékoztatta Hatóságomat, hogy a kérelem bizottsági véleményezése folyamatban van, azonban véleményének kialakítása érdekében tényállás tisztázása szükséges.</w:t>
      </w:r>
    </w:p>
    <w:p w14:paraId="7E88DFC4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</w:p>
    <w:p w14:paraId="63FD4FAC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  <w:r w:rsidRPr="006816CE">
        <w:rPr>
          <w:sz w:val="24"/>
          <w:szCs w:val="24"/>
        </w:rPr>
        <w:t xml:space="preserve">Hatóságom a tényállás tisztázása érdekében – rövid úton, 2025. március 21. napján elektronikusan küldött – a Bizottság kérése szerinti tartalommal BGMF/288-3/2025. iktatószámú levelében az alábbiak tekintetében hívta fel a Kérelmezőt: </w:t>
      </w:r>
    </w:p>
    <w:p w14:paraId="07E661DD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</w:p>
    <w:p w14:paraId="2C450FBD" w14:textId="77777777" w:rsidR="006816CE" w:rsidRPr="006816CE" w:rsidRDefault="006816CE" w:rsidP="006816CE">
      <w:pPr>
        <w:pStyle w:val="Listaszerbekezds"/>
        <w:numPr>
          <w:ilvl w:val="0"/>
          <w:numId w:val="3"/>
        </w:numPr>
        <w:spacing w:after="120" w:line="276" w:lineRule="auto"/>
        <w:jc w:val="both"/>
      </w:pPr>
      <w:r w:rsidRPr="006816CE">
        <w:t xml:space="preserve">pótolja a hiányzó magyar nyelvű önéletrajzokat </w:t>
      </w:r>
      <w:r w:rsidRPr="006816CE">
        <w:rPr>
          <w:iCs/>
        </w:rPr>
        <w:t>a GMM/GMCC kockázatértékelési formanyomtatvány 2.2. pontjában;</w:t>
      </w:r>
    </w:p>
    <w:p w14:paraId="70797ED4" w14:textId="77777777" w:rsidR="006816CE" w:rsidRPr="006816CE" w:rsidRDefault="006816CE" w:rsidP="006816CE">
      <w:pPr>
        <w:pStyle w:val="Listaszerbekezds"/>
        <w:numPr>
          <w:ilvl w:val="0"/>
          <w:numId w:val="3"/>
        </w:numPr>
        <w:spacing w:after="120" w:line="276" w:lineRule="auto"/>
        <w:jc w:val="both"/>
      </w:pPr>
      <w:r w:rsidRPr="006816CE">
        <w:t xml:space="preserve">becsülje meg a várható kísérleti igényeket és ennek függvényében a felhasználandó GMM és GMCC mennyiségét; továbbá a 3.1.1.-3.1.3. pontokban adja meg a gazdaszervezet és a vektorok valamint a beillesztett genetikai anyag jellemzőit és fejtse ki azok lehetséges káros hatását vagy indokolja, miért nem kell erre számítani; valamint </w:t>
      </w:r>
    </w:p>
    <w:p w14:paraId="00037B90" w14:textId="77777777" w:rsidR="006816CE" w:rsidRPr="006816CE" w:rsidRDefault="006816CE" w:rsidP="006816CE">
      <w:pPr>
        <w:pStyle w:val="Listaszerbekezds"/>
        <w:numPr>
          <w:ilvl w:val="0"/>
          <w:numId w:val="3"/>
        </w:numPr>
        <w:spacing w:after="120" w:line="276" w:lineRule="auto"/>
        <w:jc w:val="both"/>
      </w:pPr>
      <w:r w:rsidRPr="006816CE">
        <w:t xml:space="preserve">javítsa a 3.2.1. és a 3.2.5. pontokban foglaltakat, amennyiben </w:t>
      </w:r>
      <w:r w:rsidRPr="006816CE">
        <w:rPr>
          <w:i/>
        </w:rPr>
        <w:t>E. coli</w:t>
      </w:r>
      <w:r w:rsidRPr="006816CE">
        <w:t xml:space="preserve"> baktériumot is használnak.</w:t>
      </w:r>
    </w:p>
    <w:p w14:paraId="20A7F032" w14:textId="77777777" w:rsidR="006816CE" w:rsidRPr="006816CE" w:rsidRDefault="006816CE" w:rsidP="006816CE">
      <w:pPr>
        <w:pStyle w:val="Listaszerbekezds"/>
        <w:spacing w:after="120" w:line="276" w:lineRule="auto"/>
        <w:ind w:left="1080"/>
        <w:jc w:val="both"/>
      </w:pPr>
    </w:p>
    <w:p w14:paraId="65B6806F" w14:textId="77777777" w:rsidR="006816CE" w:rsidRPr="006816CE" w:rsidRDefault="006816CE" w:rsidP="006816CE">
      <w:pPr>
        <w:pStyle w:val="Listaszerbekezds"/>
        <w:spacing w:after="120" w:line="276" w:lineRule="auto"/>
        <w:jc w:val="both"/>
      </w:pPr>
      <w:r w:rsidRPr="006816CE">
        <w:rPr>
          <w:i/>
        </w:rPr>
        <w:t>GMM kockázatértékelési formanyomtatványok esetében</w:t>
      </w:r>
    </w:p>
    <w:p w14:paraId="256A1AEC" w14:textId="77777777" w:rsidR="006816CE" w:rsidRPr="006816CE" w:rsidRDefault="006816CE" w:rsidP="006816CE">
      <w:pPr>
        <w:pStyle w:val="Listaszerbekezds"/>
        <w:numPr>
          <w:ilvl w:val="0"/>
          <w:numId w:val="31"/>
        </w:numPr>
        <w:spacing w:after="120" w:line="276" w:lineRule="auto"/>
        <w:jc w:val="both"/>
      </w:pPr>
      <w:r w:rsidRPr="006816CE">
        <w:t>pótolja a helyi eljárási szabályzatot és a balesetelhárítási tervet;</w:t>
      </w:r>
    </w:p>
    <w:p w14:paraId="7297A3CD" w14:textId="77777777" w:rsidR="006816CE" w:rsidRPr="006816CE" w:rsidRDefault="006816CE" w:rsidP="006816CE">
      <w:pPr>
        <w:pStyle w:val="Listaszerbekezds"/>
        <w:numPr>
          <w:ilvl w:val="0"/>
          <w:numId w:val="31"/>
        </w:numPr>
        <w:spacing w:after="120" w:line="276" w:lineRule="auto"/>
        <w:jc w:val="both"/>
      </w:pPr>
      <w:r w:rsidRPr="006816CE">
        <w:t>pontosítsa a felhasználandó GMM és GMCC várható mennyiségét;</w:t>
      </w:r>
    </w:p>
    <w:p w14:paraId="3E73E808" w14:textId="77777777" w:rsidR="006816CE" w:rsidRPr="006816CE" w:rsidRDefault="006816CE" w:rsidP="006816CE">
      <w:pPr>
        <w:pStyle w:val="Listaszerbekezds"/>
        <w:numPr>
          <w:ilvl w:val="0"/>
          <w:numId w:val="31"/>
        </w:numPr>
        <w:spacing w:after="120" w:line="276" w:lineRule="auto"/>
        <w:jc w:val="both"/>
      </w:pPr>
      <w:r w:rsidRPr="006816CE">
        <w:t>adja meg a gazdaszervezet és a vektorok, valamint a beillesztett genetikai anyag jellemzőit és fejtse ki azok lehetséges káros hatását vagy indokolja, miért nem kell erre számítani;</w:t>
      </w:r>
    </w:p>
    <w:p w14:paraId="7F995EC8" w14:textId="77777777" w:rsidR="006816CE" w:rsidRPr="006816CE" w:rsidRDefault="006816CE" w:rsidP="006816CE">
      <w:pPr>
        <w:pStyle w:val="Listaszerbekezds"/>
        <w:numPr>
          <w:ilvl w:val="0"/>
          <w:numId w:val="31"/>
        </w:numPr>
        <w:spacing w:after="120" w:line="276" w:lineRule="auto"/>
        <w:jc w:val="both"/>
      </w:pPr>
      <w:r w:rsidRPr="006816CE">
        <w:t>fejtse ki, miért nem alkalmaznak autoklávozást a baktériumtenyészetek inaktiválására;</w:t>
      </w:r>
    </w:p>
    <w:p w14:paraId="39D623BB" w14:textId="77777777" w:rsidR="006816CE" w:rsidRPr="006816CE" w:rsidRDefault="006816CE" w:rsidP="006816CE">
      <w:pPr>
        <w:pStyle w:val="Listaszerbekezds"/>
        <w:spacing w:after="120" w:line="276" w:lineRule="auto"/>
        <w:ind w:left="1428"/>
        <w:jc w:val="both"/>
      </w:pPr>
    </w:p>
    <w:p w14:paraId="6725872F" w14:textId="77777777" w:rsidR="006816CE" w:rsidRPr="006816CE" w:rsidRDefault="006816CE" w:rsidP="006816CE">
      <w:pPr>
        <w:pStyle w:val="Listaszerbekezds"/>
        <w:spacing w:after="120" w:line="276" w:lineRule="auto"/>
        <w:jc w:val="both"/>
      </w:pPr>
      <w:r w:rsidRPr="006816CE">
        <w:rPr>
          <w:i/>
        </w:rPr>
        <w:t xml:space="preserve">GMV kockázatértékelési formanyomtatványok esetében </w:t>
      </w:r>
    </w:p>
    <w:p w14:paraId="25C01681" w14:textId="77777777" w:rsidR="006816CE" w:rsidRPr="006816CE" w:rsidRDefault="006816CE" w:rsidP="006816CE">
      <w:pPr>
        <w:pStyle w:val="Listaszerbekezds"/>
        <w:numPr>
          <w:ilvl w:val="0"/>
          <w:numId w:val="31"/>
        </w:numPr>
        <w:spacing w:after="120" w:line="276" w:lineRule="auto"/>
        <w:jc w:val="both"/>
      </w:pPr>
      <w:r w:rsidRPr="006816CE">
        <w:t>pótolja a felhasználás időtartamának megadását.</w:t>
      </w:r>
    </w:p>
    <w:p w14:paraId="552C1313" w14:textId="77777777" w:rsidR="006816CE" w:rsidRPr="006816CE" w:rsidRDefault="006816CE" w:rsidP="006816CE">
      <w:pPr>
        <w:pStyle w:val="Szvegtrzs3"/>
        <w:spacing w:line="276" w:lineRule="auto"/>
        <w:ind w:left="1440"/>
        <w:jc w:val="both"/>
        <w:rPr>
          <w:color w:val="000000"/>
          <w:sz w:val="24"/>
          <w:szCs w:val="24"/>
        </w:rPr>
      </w:pPr>
    </w:p>
    <w:p w14:paraId="16E4B34B" w14:textId="77777777" w:rsidR="006816CE" w:rsidRPr="006816CE" w:rsidRDefault="006816CE" w:rsidP="006816C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6816CE">
        <w:rPr>
          <w:color w:val="000000"/>
          <w:sz w:val="24"/>
          <w:szCs w:val="24"/>
        </w:rPr>
        <w:t xml:space="preserve">A Kérelmező 2025. március 26. napján érkezett, fentiekre vonatkozó – BGMF/288-4/2025. számon iktatott – válaszát Hatóságom rövid úton továbbította a Bizottság felé. </w:t>
      </w:r>
    </w:p>
    <w:p w14:paraId="5EBF1398" w14:textId="77777777" w:rsidR="006816CE" w:rsidRPr="006816CE" w:rsidRDefault="006816CE" w:rsidP="006816CE">
      <w:pPr>
        <w:shd w:val="clear" w:color="auto" w:fill="FFFFFF"/>
        <w:spacing w:line="276" w:lineRule="auto"/>
        <w:jc w:val="both"/>
      </w:pPr>
    </w:p>
    <w:p w14:paraId="635F95C5" w14:textId="77777777" w:rsidR="006816CE" w:rsidRPr="006816CE" w:rsidRDefault="006816CE" w:rsidP="006816CE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6816CE">
        <w:lastRenderedPageBreak/>
        <w:t xml:space="preserve">A Bizottság az eredeti kérelmet és a Kérelmező írásban megküldött válaszát személyesen tartott ülésén megtárgyalta, és az alábbiakat állapította meg GA-2025-19. számú véleményében: </w:t>
      </w:r>
      <w:r w:rsidRPr="006816CE">
        <w:rPr>
          <w:i/>
        </w:rPr>
        <w:t>„A kérelmet a GEVB áttekintette, aminek az elbírálásához további információra volt szüksége. Kérdéseket fogalmazott meg a kérelmező részére, melyeket az eljáró hatóságon keresztül küldött meg a kérelmezőnek, valamint a kérelmezőt is meghallgatta. A válaszokat a GEVB megvitatta, és kielégítőnek találta.</w:t>
      </w:r>
      <w:r w:rsidRPr="006816CE">
        <w:rPr>
          <w:bCs/>
          <w:i/>
        </w:rPr>
        <w:t xml:space="preserve"> </w:t>
      </w:r>
      <w:r w:rsidRPr="006816CE">
        <w:rPr>
          <w:i/>
        </w:rPr>
        <w:t>Ennek alapján az engedélyt megadásra javasoljuk.”</w:t>
      </w:r>
    </w:p>
    <w:p w14:paraId="65018174" w14:textId="77777777" w:rsidR="006816CE" w:rsidRPr="006816CE" w:rsidRDefault="006816CE" w:rsidP="006816CE">
      <w:pPr>
        <w:tabs>
          <w:tab w:val="left" w:pos="709"/>
        </w:tabs>
        <w:spacing w:line="276" w:lineRule="auto"/>
        <w:jc w:val="both"/>
        <w:rPr>
          <w:bCs/>
        </w:rPr>
      </w:pPr>
    </w:p>
    <w:p w14:paraId="05D025A5" w14:textId="77777777" w:rsidR="006816CE" w:rsidRPr="006816CE" w:rsidRDefault="006816CE" w:rsidP="006816CE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6816CE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14:paraId="1D40F100" w14:textId="77777777" w:rsidR="006816CE" w:rsidRPr="006816CE" w:rsidRDefault="006816CE" w:rsidP="006816CE">
      <w:pPr>
        <w:spacing w:line="276" w:lineRule="auto"/>
        <w:jc w:val="both"/>
      </w:pPr>
    </w:p>
    <w:p w14:paraId="5F6A6078" w14:textId="77777777" w:rsidR="006816CE" w:rsidRPr="006816CE" w:rsidRDefault="006816CE" w:rsidP="006816CE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6816CE">
        <w:rPr>
          <w:sz w:val="24"/>
          <w:szCs w:val="24"/>
        </w:rPr>
        <w:t xml:space="preserve">A Kérelmező az Itv. 5. § (1) bekezdésének f) pontja, </w:t>
      </w:r>
      <w:r w:rsidRPr="006816CE">
        <w:rPr>
          <w:color w:val="000000"/>
          <w:sz w:val="24"/>
          <w:szCs w:val="24"/>
        </w:rPr>
        <w:t xml:space="preserve">valamint </w:t>
      </w:r>
      <w:r w:rsidRPr="006816CE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6816CE">
        <w:rPr>
          <w:color w:val="000000"/>
          <w:sz w:val="24"/>
          <w:szCs w:val="24"/>
        </w:rPr>
        <w:t xml:space="preserve"> szóló 138/2004. (IX. 23.) FVM rendelet 7. §-ának b) pontja </w:t>
      </w:r>
      <w:r w:rsidRPr="006816CE">
        <w:rPr>
          <w:sz w:val="24"/>
          <w:szCs w:val="24"/>
        </w:rPr>
        <w:t>alapján mentesül az igazgatási szolgáltatási díj megfizetése alól.</w:t>
      </w:r>
    </w:p>
    <w:p w14:paraId="0F03C2C6" w14:textId="77777777" w:rsidR="006816CE" w:rsidRPr="006816CE" w:rsidRDefault="006816CE" w:rsidP="006816CE">
      <w:pPr>
        <w:spacing w:line="276" w:lineRule="auto"/>
        <w:jc w:val="both"/>
        <w:rPr>
          <w:highlight w:val="yellow"/>
        </w:rPr>
      </w:pPr>
    </w:p>
    <w:p w14:paraId="1E53DDFA" w14:textId="77777777" w:rsidR="006816CE" w:rsidRPr="006816CE" w:rsidRDefault="006816CE" w:rsidP="006816C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6816CE">
        <w:rPr>
          <w:color w:val="000000"/>
          <w:sz w:val="24"/>
          <w:szCs w:val="24"/>
        </w:rPr>
        <w:t xml:space="preserve">Határozatomat a Gtv. 3. § (1) bekezdése, 6. §-a, 8-9. §-ai, a Rendelet 1. § (1) bekezdése b) pontja, 2-7. §-ai, a géntechnológiai tevékenységre vonatkozó nyilvántartás és adatszolgáltatás rendjéről, valamint a </w:t>
      </w:r>
      <w:r w:rsidRPr="006816CE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6816CE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6816CE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6816CE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6816CE">
        <w:rPr>
          <w:i/>
          <w:color w:val="000000"/>
          <w:sz w:val="24"/>
          <w:szCs w:val="24"/>
        </w:rPr>
        <w:t>általános közigazgatási rendtartásról</w:t>
      </w:r>
      <w:r w:rsidRPr="006816CE">
        <w:rPr>
          <w:color w:val="000000"/>
          <w:sz w:val="24"/>
          <w:szCs w:val="24"/>
        </w:rPr>
        <w:t xml:space="preserve"> szóló 2016. évi CL. törvény (a továbbiakban: Ákr.) </w:t>
      </w:r>
      <w:r w:rsidRPr="006816CE">
        <w:rPr>
          <w:sz w:val="24"/>
          <w:szCs w:val="24"/>
        </w:rPr>
        <w:t>80. § (1) bekezdése és 81. § (1) és (4) bekezdése</w:t>
      </w:r>
      <w:r w:rsidRPr="006816CE">
        <w:rPr>
          <w:color w:val="000000"/>
          <w:sz w:val="24"/>
          <w:szCs w:val="24"/>
        </w:rPr>
        <w:t xml:space="preserve"> alapján hoztam meg.</w:t>
      </w:r>
    </w:p>
    <w:p w14:paraId="12779491" w14:textId="77777777" w:rsidR="006816CE" w:rsidRPr="006816CE" w:rsidRDefault="006816CE" w:rsidP="006816C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14:paraId="108B42DD" w14:textId="77777777" w:rsidR="006816CE" w:rsidRPr="006816CE" w:rsidRDefault="006816CE" w:rsidP="006816C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6816CE">
        <w:rPr>
          <w:color w:val="000000"/>
          <w:sz w:val="24"/>
          <w:szCs w:val="24"/>
        </w:rPr>
        <w:t xml:space="preserve">A jogorvoslatról szóló tájékoztatás az Ákr. 55. § (4) bekezdésén, 82. § (1) bekezdésén, 112. § (1) bekezdésén, 113. § (1) bekezdésén, 114. § (1) bekezdésén, valamint 116. § (1) bekezdésén és (4) bekezdésének a) pontján, továbbá a közigazgatási perrendtartásról szóló 2017. évi I. törvény 7. § (1) bekezdésének a) pontján, 12. § (1) bekezdésén, 13. § (1) bekezdésének b) pontján, 39. § (1)-(2) és (6) bekezdésén, 50. § (1) bekezdésén, 77. § (1)-(2) bekezdésén, 124. § (3) bekezdésén, valamint a </w:t>
      </w:r>
      <w:r w:rsidRPr="006816CE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6816CE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14:paraId="4990D700" w14:textId="77777777" w:rsidR="006816CE" w:rsidRPr="006816CE" w:rsidRDefault="006816CE" w:rsidP="006816CE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14:paraId="5494F61D" w14:textId="77777777" w:rsidR="006816CE" w:rsidRPr="006816CE" w:rsidRDefault="006816CE" w:rsidP="006816C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6816CE">
        <w:rPr>
          <w:color w:val="000000"/>
          <w:sz w:val="24"/>
          <w:szCs w:val="24"/>
        </w:rPr>
        <w:t>Hatáskörömet és illetékességemet a Gtv. 4. § (1) bekezdés b) pontja, a Rendelet 1. § (3) bekezdése, valamint a Kormány tagjainak feladat- és hatásköréről szóló 182/2022 (V. 24.) Korm. rendelet 54. §-ának 9. pontja alapozza meg.</w:t>
      </w:r>
    </w:p>
    <w:p w14:paraId="71B28B93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</w:p>
    <w:p w14:paraId="69A18CD2" w14:textId="77777777" w:rsidR="006816CE" w:rsidRPr="006816CE" w:rsidRDefault="006816CE" w:rsidP="006816CE">
      <w:pPr>
        <w:pStyle w:val="Szvegtrzs3"/>
        <w:spacing w:line="276" w:lineRule="auto"/>
        <w:jc w:val="both"/>
        <w:rPr>
          <w:sz w:val="24"/>
          <w:szCs w:val="24"/>
        </w:rPr>
      </w:pPr>
      <w:r w:rsidRPr="006816CE">
        <w:rPr>
          <w:sz w:val="24"/>
          <w:szCs w:val="24"/>
        </w:rPr>
        <w:t xml:space="preserve">Kiadmányozási jogom a </w:t>
      </w:r>
      <w:r w:rsidRPr="006816CE">
        <w:rPr>
          <w:i/>
          <w:sz w:val="24"/>
          <w:szCs w:val="24"/>
        </w:rPr>
        <w:t>központi államigazgatási szervekről, valamint a Kormány tagjai és az államtitkárok jogállásáról</w:t>
      </w:r>
      <w:r w:rsidRPr="006816CE">
        <w:rPr>
          <w:sz w:val="24"/>
          <w:szCs w:val="24"/>
        </w:rPr>
        <w:t xml:space="preserve"> szóló 2010. évi XLIII. törvény 5. § (3) bekezdésének b) pontján</w:t>
      </w:r>
      <w:r w:rsidRPr="006816CE">
        <w:rPr>
          <w:color w:val="000000"/>
          <w:sz w:val="24"/>
          <w:szCs w:val="24"/>
        </w:rPr>
        <w:t xml:space="preserve">, valamint az </w:t>
      </w:r>
      <w:r w:rsidRPr="006816CE">
        <w:rPr>
          <w:i/>
          <w:color w:val="000000"/>
          <w:sz w:val="24"/>
          <w:szCs w:val="24"/>
        </w:rPr>
        <w:t>Agrárminisztérium Szervezeti és Működési Szabályzatáról</w:t>
      </w:r>
      <w:r w:rsidRPr="006816CE">
        <w:rPr>
          <w:color w:val="000000"/>
          <w:sz w:val="24"/>
          <w:szCs w:val="24"/>
        </w:rPr>
        <w:t xml:space="preserve"> szóló 1/2023 (VI. 30.) AM utasítás 1. mellékletének 73. § (1) bekezdésén és 2. függelékének 4.1.3. pont 3. alpont a) pontján alapul.</w:t>
      </w:r>
    </w:p>
    <w:p w14:paraId="75A44F65" w14:textId="77777777"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14:paraId="3B86C03D" w14:textId="77777777" w:rsidR="003277E4" w:rsidRPr="00E866EA" w:rsidRDefault="000A78D4" w:rsidP="00E866EA">
      <w:pPr>
        <w:suppressAutoHyphens/>
        <w:spacing w:line="276" w:lineRule="auto"/>
        <w:jc w:val="both"/>
        <w:rPr>
          <w:b/>
        </w:rPr>
      </w:pPr>
      <w:r w:rsidRPr="00E866EA">
        <w:rPr>
          <w:b/>
        </w:rPr>
        <w:t>A génállomány forrásai, a használt recipiens, donor, illetve szülő mikroorganizmusok, a használt gazda-vektor rendszer</w:t>
      </w:r>
      <w:r w:rsidR="006B2BE3" w:rsidRPr="00E866EA">
        <w:rPr>
          <w:b/>
        </w:rPr>
        <w:t>, a munka célja, a kockázatértékelés összefoglalása, valamint a hulladékkezelés módja</w:t>
      </w:r>
      <w:r w:rsidRPr="00E866EA">
        <w:rPr>
          <w:b/>
        </w:rPr>
        <w:t>:</w:t>
      </w:r>
    </w:p>
    <w:p w14:paraId="3B89C964" w14:textId="77777777" w:rsidR="00B253DD" w:rsidRPr="00E866EA" w:rsidRDefault="00B253DD" w:rsidP="00E866EA">
      <w:pPr>
        <w:spacing w:line="276" w:lineRule="auto"/>
        <w:jc w:val="both"/>
        <w:rPr>
          <w:u w:val="single"/>
        </w:rPr>
      </w:pPr>
    </w:p>
    <w:p w14:paraId="2FFFC404" w14:textId="77777777" w:rsidR="00ED2F2E" w:rsidRPr="00E866EA" w:rsidRDefault="006018E8" w:rsidP="00E866EA">
      <w:pPr>
        <w:spacing w:line="276" w:lineRule="auto"/>
        <w:jc w:val="both"/>
      </w:pPr>
      <w:r w:rsidRPr="00E866EA">
        <w:rPr>
          <w:u w:val="single"/>
        </w:rPr>
        <w:t>Befogadó</w:t>
      </w:r>
      <w:r w:rsidR="003E35EE" w:rsidRPr="00E866EA">
        <w:rPr>
          <w:u w:val="single"/>
        </w:rPr>
        <w:t>, donor</w:t>
      </w:r>
      <w:r w:rsidRPr="00E866EA">
        <w:rPr>
          <w:u w:val="single"/>
        </w:rPr>
        <w:t xml:space="preserve"> szervezet</w:t>
      </w:r>
      <w:r w:rsidR="003E35EE" w:rsidRPr="00E866EA">
        <w:rPr>
          <w:u w:val="single"/>
        </w:rPr>
        <w:t>ek és vektorok</w:t>
      </w:r>
      <w:r w:rsidRPr="00E866EA">
        <w:t>:</w:t>
      </w:r>
      <w:r w:rsidR="004B25F8" w:rsidRPr="00E866EA">
        <w:t xml:space="preserve"> </w:t>
      </w:r>
    </w:p>
    <w:p w14:paraId="2B9D906C" w14:textId="3EE7810F" w:rsidR="00334913" w:rsidRPr="00E866EA" w:rsidRDefault="00334913" w:rsidP="00AC4FB2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E866EA">
        <w:rPr>
          <w:rFonts w:eastAsiaTheme="minorHAnsi"/>
          <w:color w:val="000000"/>
          <w:lang w:eastAsia="en-US"/>
        </w:rPr>
        <w:t xml:space="preserve">- </w:t>
      </w:r>
      <w:r w:rsidRPr="00334913">
        <w:rPr>
          <w:rFonts w:eastAsiaTheme="minorHAnsi"/>
          <w:color w:val="000000"/>
          <w:lang w:eastAsia="en-US"/>
        </w:rPr>
        <w:t>Emberi eredetű gének vagy génszabályozó szekvenciák</w:t>
      </w:r>
      <w:r w:rsidRPr="00E866EA">
        <w:rPr>
          <w:rFonts w:eastAsiaTheme="minorHAnsi"/>
          <w:color w:val="000000"/>
          <w:lang w:eastAsia="en-US"/>
        </w:rPr>
        <w:t>;</w:t>
      </w:r>
    </w:p>
    <w:p w14:paraId="56BA4CC9" w14:textId="77777777" w:rsidR="00334913" w:rsidRPr="00E866EA" w:rsidRDefault="00334913" w:rsidP="00E86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E866EA">
        <w:rPr>
          <w:rFonts w:eastAsiaTheme="minorHAnsi"/>
          <w:color w:val="000000"/>
          <w:lang w:eastAsia="en-US"/>
        </w:rPr>
        <w:t>- géntechnológiával módosított egerek (</w:t>
      </w:r>
      <w:r w:rsidRPr="00E866EA">
        <w:rPr>
          <w:rFonts w:eastAsiaTheme="minorHAnsi"/>
          <w:i/>
          <w:color w:val="000000"/>
          <w:lang w:eastAsia="en-US"/>
        </w:rPr>
        <w:t>Mus musculus)</w:t>
      </w:r>
      <w:r w:rsidR="00B42C0A">
        <w:rPr>
          <w:rFonts w:eastAsiaTheme="minorHAnsi"/>
          <w:i/>
          <w:color w:val="000000"/>
          <w:lang w:eastAsia="en-US"/>
        </w:rPr>
        <w:t>.</w:t>
      </w:r>
    </w:p>
    <w:p w14:paraId="4420ABC9" w14:textId="77777777" w:rsidR="00334913" w:rsidRPr="00E866EA" w:rsidRDefault="00334913" w:rsidP="00E86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u w:val="single"/>
          <w:lang w:eastAsia="en-US"/>
        </w:rPr>
      </w:pPr>
    </w:p>
    <w:p w14:paraId="346B2605" w14:textId="175FACA3" w:rsidR="00334913" w:rsidRPr="00334913" w:rsidRDefault="00AC4FB2" w:rsidP="00E86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u w:val="single"/>
          <w:lang w:eastAsia="en-US"/>
        </w:rPr>
        <w:t>V</w:t>
      </w:r>
      <w:r w:rsidR="00334913" w:rsidRPr="00E866EA">
        <w:rPr>
          <w:rFonts w:eastAsiaTheme="minorHAnsi"/>
          <w:color w:val="000000"/>
          <w:u w:val="single"/>
          <w:lang w:eastAsia="en-US"/>
        </w:rPr>
        <w:t>ektorok:</w:t>
      </w:r>
    </w:p>
    <w:p w14:paraId="0D9E6C28" w14:textId="34D66B75" w:rsidR="00334913" w:rsidRPr="00334913" w:rsidRDefault="00E50E28" w:rsidP="00E866EA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334913" w:rsidRPr="00334913">
        <w:rPr>
          <w:rFonts w:eastAsiaTheme="minorHAnsi"/>
          <w:color w:val="000000"/>
          <w:lang w:eastAsia="en-US"/>
        </w:rPr>
        <w:t xml:space="preserve">bakteriális, bakteriofág (T7, M13), virális (CMV, SV40) eredetű plazmidvektor komponensek; </w:t>
      </w:r>
    </w:p>
    <w:p w14:paraId="11A7E1F2" w14:textId="576F7424" w:rsidR="00334913" w:rsidRPr="00334913" w:rsidRDefault="00E50E28" w:rsidP="00E866EA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B42C0A">
        <w:rPr>
          <w:rFonts w:eastAsiaTheme="minorHAnsi"/>
          <w:color w:val="000000"/>
          <w:lang w:eastAsia="en-US"/>
        </w:rPr>
        <w:t xml:space="preserve"> </w:t>
      </w:r>
      <w:r w:rsidR="00334913" w:rsidRPr="00334913">
        <w:rPr>
          <w:rFonts w:eastAsiaTheme="minorHAnsi"/>
          <w:color w:val="000000"/>
          <w:lang w:eastAsia="en-US"/>
        </w:rPr>
        <w:t>markerfehérjéket vagy rövid peptidfragmentumokat (tageket) kódoló rekombináns DNS</w:t>
      </w:r>
      <w:r w:rsidR="00334913" w:rsidRPr="00E866EA">
        <w:rPr>
          <w:rFonts w:eastAsiaTheme="minorHAnsi"/>
          <w:color w:val="000000"/>
          <w:lang w:eastAsia="en-US"/>
        </w:rPr>
        <w:t>;</w:t>
      </w:r>
    </w:p>
    <w:p w14:paraId="7093C938" w14:textId="6C33E3D1" w:rsidR="00334913" w:rsidRPr="00334913" w:rsidRDefault="00E50E28" w:rsidP="00E866EA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B42C0A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r</w:t>
      </w:r>
      <w:r w:rsidR="00334913" w:rsidRPr="00334913">
        <w:rPr>
          <w:rFonts w:eastAsiaTheme="minorHAnsi"/>
          <w:color w:val="000000"/>
          <w:lang w:eastAsia="en-US"/>
        </w:rPr>
        <w:t>etrovirális vektor</w:t>
      </w:r>
      <w:r w:rsidR="00334913" w:rsidRPr="00E866EA">
        <w:rPr>
          <w:rFonts w:eastAsiaTheme="minorHAnsi"/>
          <w:color w:val="000000"/>
          <w:lang w:eastAsia="en-US"/>
        </w:rPr>
        <w:t>;</w:t>
      </w:r>
    </w:p>
    <w:p w14:paraId="709B4E0B" w14:textId="53D50583" w:rsidR="00334913" w:rsidRPr="00334913" w:rsidRDefault="00E50E28" w:rsidP="00E86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B42C0A">
        <w:rPr>
          <w:rFonts w:eastAsiaTheme="minorHAnsi"/>
          <w:color w:val="000000"/>
          <w:lang w:eastAsia="en-US"/>
        </w:rPr>
        <w:t xml:space="preserve"> </w:t>
      </w:r>
      <w:r w:rsidR="00334913" w:rsidRPr="00334913">
        <w:rPr>
          <w:rFonts w:eastAsiaTheme="minorHAnsi"/>
          <w:color w:val="000000"/>
          <w:lang w:eastAsia="en-US"/>
        </w:rPr>
        <w:t xml:space="preserve">lentivirális vektorok. </w:t>
      </w:r>
    </w:p>
    <w:p w14:paraId="110E00FF" w14:textId="77777777" w:rsidR="00334913" w:rsidRPr="00334913" w:rsidRDefault="00334913" w:rsidP="00E86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6148F9FF" w14:textId="77777777" w:rsidR="00C6103F" w:rsidRPr="00E866EA" w:rsidRDefault="000A78D4" w:rsidP="00E866EA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E866EA">
        <w:rPr>
          <w:sz w:val="24"/>
          <w:szCs w:val="24"/>
          <w:u w:val="single"/>
        </w:rPr>
        <w:t>A munka célja</w:t>
      </w:r>
      <w:r w:rsidRPr="00E866EA">
        <w:rPr>
          <w:sz w:val="24"/>
          <w:szCs w:val="24"/>
        </w:rPr>
        <w:t>:</w:t>
      </w:r>
      <w:r w:rsidR="00C96D13" w:rsidRPr="00E866EA">
        <w:rPr>
          <w:sz w:val="24"/>
          <w:szCs w:val="24"/>
        </w:rPr>
        <w:t xml:space="preserve"> </w:t>
      </w:r>
    </w:p>
    <w:p w14:paraId="47AB90CA" w14:textId="77777777" w:rsidR="00ED2F2E" w:rsidRPr="00E866EA" w:rsidRDefault="00334913" w:rsidP="00E866EA">
      <w:pPr>
        <w:suppressAutoHyphens/>
        <w:spacing w:line="276" w:lineRule="auto"/>
        <w:jc w:val="both"/>
      </w:pPr>
      <w:r w:rsidRPr="00E866EA">
        <w:t xml:space="preserve">Kérelmező vizsgálatai segíthetnek bizonyos betegségek patogenezisének jobb megértésében, és új terápiás célpontokra deríthetnek fényt. A tanulmányozott betegségek közé tartoznak a daganatos kórképek, az anyagcsere kórképei és </w:t>
      </w:r>
      <w:bookmarkStart w:id="0" w:name="_GoBack"/>
      <w:bookmarkEnd w:id="0"/>
      <w:r w:rsidRPr="00E866EA">
        <w:t>a szív- és érrendszeri kórképek</w:t>
      </w:r>
      <w:r w:rsidR="009A4C7E" w:rsidRPr="00E866EA">
        <w:t>.</w:t>
      </w:r>
    </w:p>
    <w:p w14:paraId="1BDE7777" w14:textId="77777777" w:rsidR="009A4C7E" w:rsidRPr="00E866EA" w:rsidRDefault="009A4C7E" w:rsidP="00E866EA">
      <w:pPr>
        <w:suppressAutoHyphens/>
        <w:spacing w:line="276" w:lineRule="auto"/>
        <w:jc w:val="both"/>
        <w:rPr>
          <w:u w:val="single"/>
        </w:rPr>
      </w:pPr>
    </w:p>
    <w:p w14:paraId="4099E127" w14:textId="77777777" w:rsidR="00827626" w:rsidRPr="00E866EA" w:rsidRDefault="00827626" w:rsidP="00E866EA">
      <w:pPr>
        <w:suppressAutoHyphens/>
        <w:spacing w:line="276" w:lineRule="auto"/>
        <w:jc w:val="both"/>
        <w:rPr>
          <w:u w:val="single"/>
        </w:rPr>
      </w:pPr>
      <w:r w:rsidRPr="00E866EA">
        <w:rPr>
          <w:u w:val="single"/>
        </w:rPr>
        <w:t>Kockázatértékelés összefoglalása:</w:t>
      </w:r>
    </w:p>
    <w:p w14:paraId="6A5F7599" w14:textId="77777777" w:rsidR="00A779D4" w:rsidRPr="00E866EA" w:rsidRDefault="00334913" w:rsidP="00E86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34913">
        <w:rPr>
          <w:rFonts w:eastAsiaTheme="minorHAnsi"/>
          <w:color w:val="000000"/>
          <w:lang w:eastAsia="en-US"/>
        </w:rPr>
        <w:t xml:space="preserve">A Kérelmező által használni kívánt GM egerek nem toxikusak, nem patogének, nem allergénebbek, mint a vad típusú társaik. A virális vektorokból kizárólag replikáció inkompetens retro-, adeno- és lentivirális rendszereket, valamint AAVV-t használnak. </w:t>
      </w:r>
      <w:r w:rsidRPr="00E866EA">
        <w:rPr>
          <w:rFonts w:eastAsiaTheme="minorHAnsi"/>
          <w:color w:val="000000"/>
          <w:lang w:eastAsia="en-US"/>
        </w:rPr>
        <w:t xml:space="preserve">A lentivirális vektort </w:t>
      </w:r>
      <w:r w:rsidRPr="00334913">
        <w:rPr>
          <w:rFonts w:eastAsiaTheme="minorHAnsi"/>
          <w:color w:val="000000"/>
          <w:lang w:eastAsia="en-US"/>
        </w:rPr>
        <w:t xml:space="preserve">HEK293 sejtekben állítják elő, majd a vírusrészecskéket izolálják és a vizsgálandó sejtvonal sejtjeibe transzdukálják. A virális rendszerek közvetlen felhasználásból származó veszélyek között szerepel az emberi vagy állati sejtekkel való nem szándékos fertőzés lehetősége, különösen, ha a vektorrendszer nem megfelelően inaktivált. </w:t>
      </w:r>
      <w:r w:rsidRPr="00E866EA">
        <w:rPr>
          <w:rFonts w:eastAsiaTheme="minorHAnsi"/>
          <w:color w:val="000000"/>
          <w:lang w:eastAsia="en-US"/>
        </w:rPr>
        <w:t>Az immunválasz</w:t>
      </w:r>
      <w:r w:rsidRPr="00334913">
        <w:rPr>
          <w:rFonts w:eastAsiaTheme="minorHAnsi"/>
          <w:color w:val="000000"/>
          <w:lang w:eastAsia="en-US"/>
        </w:rPr>
        <w:t xml:space="preserve"> jelenthet kockázatot, különösen nagy mennyiségű virális közvetítőanyag felhasználása esetén, ami gyulladást vagy túlérzékenységi reakciókat okozhat</w:t>
      </w:r>
      <w:r w:rsidRPr="00E866EA">
        <w:rPr>
          <w:rFonts w:eastAsiaTheme="minorHAnsi"/>
          <w:color w:val="000000"/>
          <w:lang w:eastAsia="en-US"/>
        </w:rPr>
        <w:t xml:space="preserve">. Humán-egészségügyi kockázat bizonyos bakteriális törzsek internalizációja, amely enyhe hasmenéssel járhat. A </w:t>
      </w:r>
      <w:r w:rsidRPr="00E866EA">
        <w:t xml:space="preserve">genetikailag módosított állatok túl tudnak élni a természetben, azonban sokkal alacsonyabb a fitneszük a vadon élő egerekhez képest. A transzformált DH5alfa </w:t>
      </w:r>
      <w:r w:rsidRPr="00E866EA">
        <w:rPr>
          <w:i/>
          <w:iCs/>
        </w:rPr>
        <w:t xml:space="preserve">E. coli </w:t>
      </w:r>
      <w:r w:rsidRPr="00E866EA">
        <w:t xml:space="preserve">baktériumok a környezetben életképesek, de nem rendelkeznek előnnyel a normális bélbióta részét is képező </w:t>
      </w:r>
      <w:r w:rsidRPr="00E866EA">
        <w:rPr>
          <w:i/>
          <w:iCs/>
        </w:rPr>
        <w:t xml:space="preserve">E. coli </w:t>
      </w:r>
      <w:r w:rsidRPr="00E866EA">
        <w:t>baktériumokhoz képest. Az emlős sejtek fitnesze a környezetben nulla. A bakteriális plazmidok esetében lehetséges horizontális transzfer, ha kiszabadulnak a laboratóriumból.</w:t>
      </w:r>
    </w:p>
    <w:p w14:paraId="6B2F6604" w14:textId="77777777" w:rsidR="00334913" w:rsidRPr="00E866EA" w:rsidRDefault="00334913" w:rsidP="00E866E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</w:p>
    <w:p w14:paraId="146995D3" w14:textId="77777777" w:rsidR="00E866EA" w:rsidRDefault="00E866EA" w:rsidP="00E50E2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</w:p>
    <w:p w14:paraId="31A5888F" w14:textId="77777777" w:rsidR="006D4348" w:rsidRPr="00E866EA" w:rsidRDefault="006D4348" w:rsidP="00E50E2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E866EA">
        <w:rPr>
          <w:rFonts w:eastAsiaTheme="minorHAnsi"/>
          <w:u w:val="single"/>
          <w:lang w:eastAsia="en-US"/>
        </w:rPr>
        <w:t>Hulladékkezelésre vonatkozó információk</w:t>
      </w:r>
      <w:r w:rsidR="00B152FF" w:rsidRPr="00E866EA">
        <w:rPr>
          <w:rFonts w:eastAsiaTheme="minorHAnsi"/>
          <w:u w:val="single"/>
          <w:lang w:eastAsia="en-US"/>
        </w:rPr>
        <w:t>:</w:t>
      </w:r>
    </w:p>
    <w:p w14:paraId="3674A5AD" w14:textId="6C02C24F" w:rsidR="00334913" w:rsidRPr="00E866EA" w:rsidRDefault="00D96A41" w:rsidP="00E50E28">
      <w:pPr>
        <w:pStyle w:val="Default"/>
        <w:spacing w:line="276" w:lineRule="auto"/>
        <w:jc w:val="both"/>
      </w:pPr>
      <w:r w:rsidRPr="00E866EA">
        <w:t>A Kérelmező rendelkezik hulladékke</w:t>
      </w:r>
      <w:r w:rsidR="00334913" w:rsidRPr="00E866EA">
        <w:t xml:space="preserve">zelési szabályzattal. A keletkező hulladék </w:t>
      </w:r>
      <w:r w:rsidR="00B42C0A">
        <w:t>e</w:t>
      </w:r>
      <w:r w:rsidR="00334913" w:rsidRPr="00E866EA">
        <w:t>nn</w:t>
      </w:r>
      <w:r w:rsidR="00B42C0A">
        <w:t>e</w:t>
      </w:r>
      <w:r w:rsidR="00334913" w:rsidRPr="00E866EA">
        <w:t xml:space="preserve">k megfelelően kezelendő. Az egyetem központilag szervezi a hulladék elszállítását és ártalmatlanítását. A biológiai minták és a szennyezett egyszerhasználatos eszközök megfelelő, lezárt, roncsolásmentesen nem felnyitható tárolóedényekben kerülnek gyűjtésre és égetésre. Az újra felhasználható berendezések a megfelelő módszerrel (autokláv, hősterilizátor, UV-sugárzás, alkoholos felületi fertőtlenítés) kerülnek fertőtlenítésre. Minden szilárd hulladék a </w:t>
      </w:r>
      <w:r w:rsidR="00334913" w:rsidRPr="00E866EA">
        <w:lastRenderedPageBreak/>
        <w:t>kijelölt konténerekbe</w:t>
      </w:r>
      <w:r w:rsidR="00B42C0A">
        <w:t>n</w:t>
      </w:r>
      <w:r w:rsidR="00334913" w:rsidRPr="00E866EA">
        <w:t xml:space="preserve"> (badellák és megjelölt szemetesek) kerül gyűjtésre. A badellákat égetik. A szemetesek tartalmát a személyzet gyűjti össze. A tetemek fagyasztásra kerülnek, és a fagyasztóból megfelelő időközönként összegyű</w:t>
      </w:r>
      <w:r w:rsidR="00E866EA" w:rsidRPr="00E866EA">
        <w:t>jtve</w:t>
      </w:r>
      <w:r w:rsidR="00334913" w:rsidRPr="00E866EA">
        <w:t xml:space="preserve"> a</w:t>
      </w:r>
      <w:r w:rsidR="00E866EA" w:rsidRPr="00E866EA">
        <w:t xml:space="preserve"> badellákba égetésre kerülnek</w:t>
      </w:r>
      <w:r w:rsidR="00334913" w:rsidRPr="00E866EA">
        <w:t>. Az éles vagy hegyes eszközöket az erre a célra kialakított edényekbe gyűjtik, hogy elkerüljék a személyzet sérülését. A felületek fertőtlenítésére használt törlőkendőket külön gyűjtik, és szintén elégetik. Az előkészítő eljárások megsemmisítik a biológiai minták biológiailag veszélyes jellegét. A hulladék elszállítására szerződött cég: Saubermacher-Kristály</w:t>
      </w:r>
      <w:r w:rsidR="00E866EA">
        <w:t xml:space="preserve"> Kft.</w:t>
      </w:r>
      <w:r w:rsidR="00B42C0A">
        <w:t>.</w:t>
      </w:r>
    </w:p>
    <w:sectPr w:rsidR="00334913" w:rsidRPr="00E866EA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C93C1" w14:textId="77777777" w:rsidR="0082203A" w:rsidRDefault="0082203A" w:rsidP="00613197">
      <w:r>
        <w:separator/>
      </w:r>
    </w:p>
  </w:endnote>
  <w:endnote w:type="continuationSeparator" w:id="0">
    <w:p w14:paraId="0F3832DD" w14:textId="77777777"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14:paraId="05430080" w14:textId="45216009"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B2">
          <w:rPr>
            <w:noProof/>
          </w:rPr>
          <w:t>7</w:t>
        </w:r>
        <w:r>
          <w:fldChar w:fldCharType="end"/>
        </w:r>
      </w:p>
    </w:sdtContent>
  </w:sdt>
  <w:p w14:paraId="7676D9E1" w14:textId="77777777"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085CC" w14:textId="77777777" w:rsidR="0082203A" w:rsidRDefault="0082203A" w:rsidP="00613197">
      <w:r>
        <w:separator/>
      </w:r>
    </w:p>
  </w:footnote>
  <w:footnote w:type="continuationSeparator" w:id="0">
    <w:p w14:paraId="300CFE1F" w14:textId="77777777"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00231"/>
    <w:multiLevelType w:val="hybridMultilevel"/>
    <w:tmpl w:val="7D90820E"/>
    <w:lvl w:ilvl="0" w:tplc="4F922704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BE6E41"/>
    <w:multiLevelType w:val="hybridMultilevel"/>
    <w:tmpl w:val="F7FAE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211"/>
    <w:multiLevelType w:val="hybridMultilevel"/>
    <w:tmpl w:val="A3661CD8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E40D5"/>
    <w:multiLevelType w:val="hybridMultilevel"/>
    <w:tmpl w:val="39AE41F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C3CD7"/>
    <w:multiLevelType w:val="hybridMultilevel"/>
    <w:tmpl w:val="E858F994"/>
    <w:lvl w:ilvl="0" w:tplc="656675E2">
      <w:numFmt w:val="bullet"/>
      <w:lvlText w:val="-"/>
      <w:lvlJc w:val="left"/>
      <w:pPr>
        <w:ind w:left="927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8371D"/>
    <w:multiLevelType w:val="hybridMultilevel"/>
    <w:tmpl w:val="499E8194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15AD5"/>
    <w:multiLevelType w:val="hybridMultilevel"/>
    <w:tmpl w:val="DC4AA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70536"/>
    <w:multiLevelType w:val="hybridMultilevel"/>
    <w:tmpl w:val="0F3E2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D2A24"/>
    <w:multiLevelType w:val="hybridMultilevel"/>
    <w:tmpl w:val="C85C18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910B5"/>
    <w:multiLevelType w:val="hybridMultilevel"/>
    <w:tmpl w:val="05A0197A"/>
    <w:lvl w:ilvl="0" w:tplc="F87EB6D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F0508CB"/>
    <w:multiLevelType w:val="hybridMultilevel"/>
    <w:tmpl w:val="0D668314"/>
    <w:lvl w:ilvl="0" w:tplc="472238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D031D"/>
    <w:multiLevelType w:val="hybridMultilevel"/>
    <w:tmpl w:val="2F1820DE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924C5"/>
    <w:multiLevelType w:val="hybridMultilevel"/>
    <w:tmpl w:val="C8B43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F10DE"/>
    <w:multiLevelType w:val="hybridMultilevel"/>
    <w:tmpl w:val="8F0C6A2A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22"/>
  </w:num>
  <w:num w:numId="5">
    <w:abstractNumId w:val="7"/>
  </w:num>
  <w:num w:numId="6">
    <w:abstractNumId w:val="30"/>
  </w:num>
  <w:num w:numId="7">
    <w:abstractNumId w:val="21"/>
  </w:num>
  <w:num w:numId="8">
    <w:abstractNumId w:val="16"/>
  </w:num>
  <w:num w:numId="9">
    <w:abstractNumId w:val="0"/>
  </w:num>
  <w:num w:numId="10">
    <w:abstractNumId w:val="12"/>
  </w:num>
  <w:num w:numId="11">
    <w:abstractNumId w:val="11"/>
  </w:num>
  <w:num w:numId="12">
    <w:abstractNumId w:val="18"/>
  </w:num>
  <w:num w:numId="13">
    <w:abstractNumId w:val="29"/>
  </w:num>
  <w:num w:numId="14">
    <w:abstractNumId w:val="8"/>
  </w:num>
  <w:num w:numId="15">
    <w:abstractNumId w:val="27"/>
  </w:num>
  <w:num w:numId="16">
    <w:abstractNumId w:val="10"/>
  </w:num>
  <w:num w:numId="17">
    <w:abstractNumId w:val="1"/>
  </w:num>
  <w:num w:numId="18">
    <w:abstractNumId w:val="26"/>
  </w:num>
  <w:num w:numId="19">
    <w:abstractNumId w:val="19"/>
  </w:num>
  <w:num w:numId="20">
    <w:abstractNumId w:val="24"/>
  </w:num>
  <w:num w:numId="21">
    <w:abstractNumId w:val="13"/>
  </w:num>
  <w:num w:numId="22">
    <w:abstractNumId w:val="20"/>
  </w:num>
  <w:num w:numId="23">
    <w:abstractNumId w:val="28"/>
  </w:num>
  <w:num w:numId="24">
    <w:abstractNumId w:val="3"/>
  </w:num>
  <w:num w:numId="25">
    <w:abstractNumId w:val="23"/>
  </w:num>
  <w:num w:numId="26">
    <w:abstractNumId w:val="31"/>
  </w:num>
  <w:num w:numId="27">
    <w:abstractNumId w:val="9"/>
  </w:num>
  <w:num w:numId="28">
    <w:abstractNumId w:val="5"/>
  </w:num>
  <w:num w:numId="29">
    <w:abstractNumId w:val="14"/>
  </w:num>
  <w:num w:numId="30">
    <w:abstractNumId w:val="25"/>
  </w:num>
  <w:num w:numId="31">
    <w:abstractNumId w:val="6"/>
  </w:num>
  <w:num w:numId="3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39A5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913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2D2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344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2698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07B1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E23F5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50CE"/>
    <w:rsid w:val="00676B3F"/>
    <w:rsid w:val="00677738"/>
    <w:rsid w:val="006779B6"/>
    <w:rsid w:val="00680B39"/>
    <w:rsid w:val="006816CE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9F6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4A5E"/>
    <w:rsid w:val="00724C01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47641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C7E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9D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6B2A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4FB2"/>
    <w:rsid w:val="00AC51D9"/>
    <w:rsid w:val="00AC5E99"/>
    <w:rsid w:val="00AC655D"/>
    <w:rsid w:val="00AD180C"/>
    <w:rsid w:val="00AD3CD9"/>
    <w:rsid w:val="00AD6ED7"/>
    <w:rsid w:val="00AE14E6"/>
    <w:rsid w:val="00AE5E89"/>
    <w:rsid w:val="00AE6E10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2C0A"/>
    <w:rsid w:val="00B4386F"/>
    <w:rsid w:val="00B44B25"/>
    <w:rsid w:val="00B457BC"/>
    <w:rsid w:val="00B457CB"/>
    <w:rsid w:val="00B465DC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2DC2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B685B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0E28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66EA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2F2E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62FA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5443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D7B8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5F85-4A5F-4E34-8E52-4B4371FA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2238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8</cp:revision>
  <cp:lastPrinted>2024-11-06T09:26:00Z</cp:lastPrinted>
  <dcterms:created xsi:type="dcterms:W3CDTF">2025-05-14T10:54:00Z</dcterms:created>
  <dcterms:modified xsi:type="dcterms:W3CDTF">2025-05-15T12:05:00Z</dcterms:modified>
</cp:coreProperties>
</file>